
<file path=[Content_Types].xml><?xml version="1.0" encoding="utf-8"?>
<Types xmlns="http://schemas.openxmlformats.org/package/2006/content-types">
  <Default Extension="bin" ContentType="application/vnd.openxmlformats-officedocument.oleObject"/>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drawings/drawing1.xml" ContentType="application/vnd.openxmlformats-officedocument.drawingml.chartshapes+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CA6CDB" w14:textId="0FF0325C" w:rsidR="004A0CB7" w:rsidRDefault="0022605A" w:rsidP="00957388">
      <w:pPr>
        <w:rPr>
          <w:b/>
          <w:sz w:val="36"/>
          <w:szCs w:val="36"/>
        </w:rPr>
      </w:pPr>
      <w:r>
        <w:rPr>
          <w:b/>
          <w:noProof/>
          <w:sz w:val="36"/>
          <w:szCs w:val="36"/>
        </w:rPr>
        <mc:AlternateContent>
          <mc:Choice Requires="wps">
            <w:drawing>
              <wp:anchor distT="0" distB="0" distL="114300" distR="114300" simplePos="0" relativeHeight="251660288" behindDoc="0" locked="0" layoutInCell="1" allowOverlap="1" wp14:anchorId="517F672F" wp14:editId="1FA668F1">
                <wp:simplePos x="0" y="0"/>
                <wp:positionH relativeFrom="column">
                  <wp:posOffset>3756660</wp:posOffset>
                </wp:positionH>
                <wp:positionV relativeFrom="paragraph">
                  <wp:posOffset>-53340</wp:posOffset>
                </wp:positionV>
                <wp:extent cx="2910840" cy="1531620"/>
                <wp:effectExtent l="13335" t="13335" r="9525"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0840" cy="1531620"/>
                        </a:xfrm>
                        <a:prstGeom prst="rect">
                          <a:avLst/>
                        </a:prstGeom>
                        <a:solidFill>
                          <a:srgbClr val="FFFFFF"/>
                        </a:solidFill>
                        <a:ln w="9525">
                          <a:solidFill>
                            <a:schemeClr val="bg1">
                              <a:lumMod val="100000"/>
                              <a:lumOff val="0"/>
                            </a:schemeClr>
                          </a:solidFill>
                          <a:miter lim="800000"/>
                          <a:headEnd/>
                          <a:tailEnd/>
                        </a:ln>
                      </wps:spPr>
                      <wps:txbx>
                        <w:txbxContent>
                          <w:p w14:paraId="6E19A183" w14:textId="2F7C0154" w:rsidR="004A0CB7" w:rsidRPr="00E00A25" w:rsidRDefault="004A0CB7" w:rsidP="004A0CB7">
                            <w:pPr>
                              <w:spacing w:line="240" w:lineRule="auto"/>
                              <w:jc w:val="center"/>
                              <w:rPr>
                                <w:rFonts w:ascii="Arial" w:hAnsi="Arial" w:cs="Arial"/>
                                <w:b/>
                                <w:sz w:val="32"/>
                                <w:szCs w:val="32"/>
                              </w:rPr>
                            </w:pPr>
                            <w:r w:rsidRPr="00E00A25">
                              <w:rPr>
                                <w:rFonts w:ascii="Arial" w:hAnsi="Arial" w:cs="Arial"/>
                                <w:b/>
                                <w:color w:val="002060"/>
                                <w:sz w:val="32"/>
                                <w:szCs w:val="32"/>
                              </w:rPr>
                              <w:t>Team McAleer</w:t>
                            </w:r>
                            <w:r w:rsidRPr="00E00A25">
                              <w:rPr>
                                <w:rFonts w:ascii="Arial" w:hAnsi="Arial" w:cs="Arial"/>
                                <w:b/>
                                <w:color w:val="002060"/>
                                <w:sz w:val="32"/>
                                <w:szCs w:val="32"/>
                              </w:rPr>
                              <w:br/>
                            </w:r>
                            <w:r w:rsidRPr="00E00A25">
                              <w:rPr>
                                <w:rFonts w:ascii="Arial" w:hAnsi="Arial" w:cs="Arial"/>
                                <w:b/>
                                <w:sz w:val="24"/>
                                <w:szCs w:val="24"/>
                              </w:rPr>
                              <w:t xml:space="preserve">RE/MAX </w:t>
                            </w:r>
                            <w:r w:rsidR="006D7F03" w:rsidRPr="00E00A25">
                              <w:rPr>
                                <w:rFonts w:ascii="Arial" w:hAnsi="Arial" w:cs="Arial"/>
                                <w:b/>
                                <w:sz w:val="24"/>
                                <w:szCs w:val="24"/>
                              </w:rPr>
                              <w:t>Prime</w:t>
                            </w:r>
                            <w:r w:rsidRPr="00E00A25">
                              <w:rPr>
                                <w:rFonts w:ascii="Arial" w:hAnsi="Arial" w:cs="Arial"/>
                                <w:b/>
                                <w:sz w:val="24"/>
                                <w:szCs w:val="24"/>
                              </w:rPr>
                              <w:br/>
                            </w:r>
                            <w:r w:rsidR="00C00036" w:rsidRPr="00E00A25">
                              <w:rPr>
                                <w:rFonts w:ascii="Arial" w:hAnsi="Arial" w:cs="Arial"/>
                                <w:b/>
                                <w:sz w:val="24"/>
                                <w:szCs w:val="24"/>
                              </w:rPr>
                              <w:t>901 W. Washington Street</w:t>
                            </w:r>
                            <w:r w:rsidRPr="00E00A25">
                              <w:rPr>
                                <w:rFonts w:ascii="Arial" w:hAnsi="Arial" w:cs="Arial"/>
                                <w:b/>
                                <w:sz w:val="24"/>
                                <w:szCs w:val="24"/>
                              </w:rPr>
                              <w:br/>
                              <w:t>Sequim, WA  98382</w:t>
                            </w:r>
                            <w:r w:rsidRPr="00E00A25">
                              <w:rPr>
                                <w:rFonts w:ascii="Arial" w:hAnsi="Arial" w:cs="Arial"/>
                                <w:b/>
                                <w:sz w:val="24"/>
                                <w:szCs w:val="24"/>
                              </w:rPr>
                              <w:br/>
                              <w:t>Office 360.683.1500</w:t>
                            </w:r>
                            <w:r w:rsidRPr="00E00A25">
                              <w:rPr>
                                <w:rFonts w:ascii="Arial" w:hAnsi="Arial" w:cs="Arial"/>
                                <w:b/>
                                <w:sz w:val="24"/>
                                <w:szCs w:val="24"/>
                              </w:rPr>
                              <w:br/>
                              <w:t>www.teammcaleer.com</w:t>
                            </w:r>
                          </w:p>
                          <w:p w14:paraId="68561580" w14:textId="77777777" w:rsidR="004A0CB7" w:rsidRDefault="004A0CB7" w:rsidP="004A0CB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7F672F" id="_x0000_t202" coordsize="21600,21600" o:spt="202" path="m,l,21600r21600,l21600,xe">
                <v:stroke joinstyle="miter"/>
                <v:path gradientshapeok="t" o:connecttype="rect"/>
              </v:shapetype>
              <v:shape id="Text Box 2" o:spid="_x0000_s1026" type="#_x0000_t202" style="position:absolute;margin-left:295.8pt;margin-top:-4.2pt;width:229.2pt;height:120.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" strokecolor="white [3212]">
                <v:textbox>
                  <w:txbxContent>
                    <w:p w14:paraId="6E19A183" w14:textId="2F7C0154" w:rsidR="004A0CB7" w:rsidRPr="00E00A25" w:rsidRDefault="004A0CB7" w:rsidP="004A0CB7">
                      <w:pPr>
                        <w:spacing w:line="240" w:lineRule="auto"/>
                        <w:jc w:val="center"/>
                        <w:rPr>
                          <w:rFonts w:ascii="Arial" w:hAnsi="Arial" w:cs="Arial"/>
                          <w:b/>
                          <w:sz w:val="32"/>
                          <w:szCs w:val="32"/>
                        </w:rPr>
                      </w:pPr>
                      <w:r w:rsidRPr="00E00A25">
                        <w:rPr>
                          <w:rFonts w:ascii="Arial" w:hAnsi="Arial" w:cs="Arial"/>
                          <w:b/>
                          <w:color w:val="002060"/>
                          <w:sz w:val="32"/>
                          <w:szCs w:val="32"/>
                        </w:rPr>
                        <w:t>Team McAleer</w:t>
                      </w:r>
                      <w:r w:rsidRPr="00E00A25">
                        <w:rPr>
                          <w:rFonts w:ascii="Arial" w:hAnsi="Arial" w:cs="Arial"/>
                          <w:b/>
                          <w:color w:val="002060"/>
                          <w:sz w:val="32"/>
                          <w:szCs w:val="32"/>
                        </w:rPr>
                        <w:br/>
                      </w:r>
                      <w:r w:rsidRPr="00E00A25">
                        <w:rPr>
                          <w:rFonts w:ascii="Arial" w:hAnsi="Arial" w:cs="Arial"/>
                          <w:b/>
                          <w:sz w:val="24"/>
                          <w:szCs w:val="24"/>
                        </w:rPr>
                        <w:t xml:space="preserve">RE/MAX </w:t>
                      </w:r>
                      <w:r w:rsidR="006D7F03" w:rsidRPr="00E00A25">
                        <w:rPr>
                          <w:rFonts w:ascii="Arial" w:hAnsi="Arial" w:cs="Arial"/>
                          <w:b/>
                          <w:sz w:val="24"/>
                          <w:szCs w:val="24"/>
                        </w:rPr>
                        <w:t>Prime</w:t>
                      </w:r>
                      <w:r w:rsidRPr="00E00A25">
                        <w:rPr>
                          <w:rFonts w:ascii="Arial" w:hAnsi="Arial" w:cs="Arial"/>
                          <w:b/>
                          <w:sz w:val="24"/>
                          <w:szCs w:val="24"/>
                        </w:rPr>
                        <w:br/>
                      </w:r>
                      <w:r w:rsidR="00C00036" w:rsidRPr="00E00A25">
                        <w:rPr>
                          <w:rFonts w:ascii="Arial" w:hAnsi="Arial" w:cs="Arial"/>
                          <w:b/>
                          <w:sz w:val="24"/>
                          <w:szCs w:val="24"/>
                        </w:rPr>
                        <w:t>901 W. Washington Street</w:t>
                      </w:r>
                      <w:r w:rsidRPr="00E00A25">
                        <w:rPr>
                          <w:rFonts w:ascii="Arial" w:hAnsi="Arial" w:cs="Arial"/>
                          <w:b/>
                          <w:sz w:val="24"/>
                          <w:szCs w:val="24"/>
                        </w:rPr>
                        <w:br/>
                        <w:t>Sequim, WA  98382</w:t>
                      </w:r>
                      <w:r w:rsidRPr="00E00A25">
                        <w:rPr>
                          <w:rFonts w:ascii="Arial" w:hAnsi="Arial" w:cs="Arial"/>
                          <w:b/>
                          <w:sz w:val="24"/>
                          <w:szCs w:val="24"/>
                        </w:rPr>
                        <w:br/>
                        <w:t>Office 360.683.1500</w:t>
                      </w:r>
                      <w:r w:rsidRPr="00E00A25">
                        <w:rPr>
                          <w:rFonts w:ascii="Arial" w:hAnsi="Arial" w:cs="Arial"/>
                          <w:b/>
                          <w:sz w:val="24"/>
                          <w:szCs w:val="24"/>
                        </w:rPr>
                        <w:br/>
                        <w:t>www.teammcaleer.com</w:t>
                      </w:r>
                    </w:p>
                    <w:p w14:paraId="68561580" w14:textId="77777777" w:rsidR="004A0CB7" w:rsidRDefault="004A0CB7" w:rsidP="004A0CB7"/>
                  </w:txbxContent>
                </v:textbox>
              </v:shape>
            </w:pict>
          </mc:Fallback>
        </mc:AlternateContent>
      </w:r>
      <w:r w:rsidR="00C00036">
        <w:rPr>
          <w:b/>
          <w:noProof/>
          <w:sz w:val="36"/>
          <w:szCs w:val="36"/>
        </w:rPr>
        <w:drawing>
          <wp:inline distT="0" distB="0" distL="0" distR="0" wp14:anchorId="4E14AA7C" wp14:editId="09DD3516">
            <wp:extent cx="1981200" cy="1173480"/>
            <wp:effectExtent l="0" t="0" r="0" b="7620"/>
            <wp:docPr id="8" name="Picture 7" descr="thA34VJZ9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A34VJZ9N.jpg"/>
                    <pic:cNvPicPr/>
                  </pic:nvPicPr>
                  <pic:blipFill>
                    <a:blip r:embed="rId8" cstate="print"/>
                    <a:stretch>
                      <a:fillRect/>
                    </a:stretch>
                  </pic:blipFill>
                  <pic:spPr>
                    <a:xfrm>
                      <a:off x="0" y="0"/>
                      <a:ext cx="2023082" cy="1198287"/>
                    </a:xfrm>
                    <a:prstGeom prst="rect">
                      <a:avLst/>
                    </a:prstGeom>
                  </pic:spPr>
                </pic:pic>
              </a:graphicData>
            </a:graphic>
          </wp:inline>
        </w:drawing>
      </w:r>
    </w:p>
    <w:p w14:paraId="45BF0645" w14:textId="77777777" w:rsidR="00B767F5" w:rsidRDefault="00B767F5" w:rsidP="00774F49">
      <w:pPr>
        <w:jc w:val="center"/>
        <w:rPr>
          <w:b/>
          <w:sz w:val="32"/>
          <w:szCs w:val="32"/>
        </w:rPr>
      </w:pPr>
    </w:p>
    <w:p w14:paraId="4C605072" w14:textId="262A91FA" w:rsidR="005B45B7" w:rsidRPr="00213AD6" w:rsidRDefault="00243230" w:rsidP="00774F49">
      <w:pPr>
        <w:jc w:val="center"/>
        <w:rPr>
          <w:rFonts w:ascii="Arial" w:hAnsi="Arial" w:cs="Arial"/>
          <w:b/>
          <w:sz w:val="32"/>
          <w:szCs w:val="32"/>
        </w:rPr>
      </w:pPr>
      <w:r w:rsidRPr="00213AD6">
        <w:rPr>
          <w:rFonts w:ascii="Arial" w:hAnsi="Arial" w:cs="Arial"/>
          <w:b/>
          <w:sz w:val="32"/>
          <w:szCs w:val="32"/>
        </w:rPr>
        <w:t>3r</w:t>
      </w:r>
      <w:r w:rsidR="00B767F5" w:rsidRPr="00213AD6">
        <w:rPr>
          <w:rFonts w:ascii="Arial" w:hAnsi="Arial" w:cs="Arial"/>
          <w:b/>
          <w:sz w:val="32"/>
          <w:szCs w:val="32"/>
        </w:rPr>
        <w:t>d</w:t>
      </w:r>
      <w:r w:rsidR="005B45B7" w:rsidRPr="00213AD6">
        <w:rPr>
          <w:rFonts w:ascii="Arial" w:hAnsi="Arial" w:cs="Arial"/>
          <w:b/>
          <w:sz w:val="32"/>
          <w:szCs w:val="32"/>
        </w:rPr>
        <w:t xml:space="preserve"> Quarter 20</w:t>
      </w:r>
      <w:r w:rsidR="00674CF9" w:rsidRPr="00213AD6">
        <w:rPr>
          <w:rFonts w:ascii="Arial" w:hAnsi="Arial" w:cs="Arial"/>
          <w:b/>
          <w:sz w:val="32"/>
          <w:szCs w:val="32"/>
        </w:rPr>
        <w:t>2</w:t>
      </w:r>
      <w:r w:rsidR="009F5481" w:rsidRPr="00213AD6">
        <w:rPr>
          <w:rFonts w:ascii="Arial" w:hAnsi="Arial" w:cs="Arial"/>
          <w:b/>
          <w:sz w:val="32"/>
          <w:szCs w:val="32"/>
        </w:rPr>
        <w:t>2</w:t>
      </w:r>
      <w:r w:rsidR="005B45B7" w:rsidRPr="00213AD6">
        <w:rPr>
          <w:rFonts w:ascii="Arial" w:hAnsi="Arial" w:cs="Arial"/>
          <w:b/>
          <w:sz w:val="32"/>
          <w:szCs w:val="32"/>
        </w:rPr>
        <w:t xml:space="preserve"> Sequim Real Estate Report</w:t>
      </w:r>
    </w:p>
    <w:p w14:paraId="25FAF4EA" w14:textId="441DE138" w:rsidR="00365E23" w:rsidRPr="00213AD6" w:rsidRDefault="00365E23" w:rsidP="00774F49">
      <w:pPr>
        <w:jc w:val="center"/>
        <w:rPr>
          <w:rFonts w:ascii="Arial" w:hAnsi="Arial" w:cs="Arial"/>
          <w:sz w:val="24"/>
          <w:szCs w:val="24"/>
        </w:rPr>
      </w:pPr>
      <w:r w:rsidRPr="00213AD6">
        <w:rPr>
          <w:rFonts w:ascii="Arial" w:hAnsi="Arial" w:cs="Arial"/>
          <w:b/>
          <w:sz w:val="24"/>
          <w:szCs w:val="24"/>
        </w:rPr>
        <w:t>Residential Report</w:t>
      </w:r>
      <w:r w:rsidRPr="00213AD6">
        <w:rPr>
          <w:rFonts w:ascii="Arial" w:hAnsi="Arial" w:cs="Arial"/>
          <w:sz w:val="24"/>
          <w:szCs w:val="24"/>
        </w:rPr>
        <w:t xml:space="preserve"> – Home Sales in the Sequim Area*</w:t>
      </w:r>
      <w:r w:rsidR="0014750A" w:rsidRPr="00213AD6">
        <w:rPr>
          <w:rFonts w:ascii="Arial" w:hAnsi="Arial" w:cs="Arial"/>
          <w:sz w:val="24"/>
          <w:szCs w:val="24"/>
        </w:rPr>
        <w:t xml:space="preserve"> </w:t>
      </w:r>
      <w:r w:rsidR="00D35F54" w:rsidRPr="00213AD6">
        <w:rPr>
          <w:rFonts w:ascii="Arial" w:hAnsi="Arial" w:cs="Arial"/>
          <w:sz w:val="24"/>
          <w:szCs w:val="24"/>
        </w:rPr>
        <w:t>compiled from the Olympic Lis</w:t>
      </w:r>
      <w:r w:rsidR="007B748C" w:rsidRPr="00213AD6">
        <w:rPr>
          <w:rFonts w:ascii="Arial" w:hAnsi="Arial" w:cs="Arial"/>
          <w:sz w:val="24"/>
          <w:szCs w:val="24"/>
        </w:rPr>
        <w:t>t</w:t>
      </w:r>
      <w:r w:rsidR="00D35F54" w:rsidRPr="00213AD6">
        <w:rPr>
          <w:rFonts w:ascii="Arial" w:hAnsi="Arial" w:cs="Arial"/>
          <w:sz w:val="24"/>
          <w:szCs w:val="24"/>
        </w:rPr>
        <w:t>ing Service.</w:t>
      </w:r>
    </w:p>
    <w:p w14:paraId="32DCBB9D" w14:textId="7F056C29" w:rsidR="007B748C" w:rsidRDefault="006741A4" w:rsidP="00A3298F">
      <w:pPr>
        <w:jc w:val="center"/>
        <w:rPr>
          <w:sz w:val="24"/>
          <w:szCs w:val="24"/>
        </w:rPr>
      </w:pPr>
      <w:r>
        <w:rPr>
          <w:noProof/>
        </w:rPr>
        <w:drawing>
          <wp:inline distT="0" distB="0" distL="0" distR="0" wp14:anchorId="0E135077" wp14:editId="6ACD80CA">
            <wp:extent cx="6858000" cy="4664710"/>
            <wp:effectExtent l="0" t="0" r="0" b="2540"/>
            <wp:docPr id="4" name="Chart 4">
              <a:extLst xmlns:a="http://schemas.openxmlformats.org/drawingml/2006/main">
                <a:ext uri="{FF2B5EF4-FFF2-40B4-BE49-F238E27FC236}">
                  <a16:creationId xmlns:a16="http://schemas.microsoft.com/office/drawing/2014/main" id="{00000000-0008-0000-14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647AF3B" w14:textId="6119CB1E" w:rsidR="00844847" w:rsidRPr="00213AD6" w:rsidRDefault="00D35F54" w:rsidP="00B46C4D">
      <w:pPr>
        <w:rPr>
          <w:rFonts w:ascii="Arial" w:hAnsi="Arial" w:cs="Arial"/>
          <w:sz w:val="24"/>
          <w:szCs w:val="24"/>
        </w:rPr>
      </w:pPr>
      <w:r w:rsidRPr="00213AD6">
        <w:rPr>
          <w:rFonts w:ascii="Arial" w:hAnsi="Arial" w:cs="Arial"/>
          <w:b/>
          <w:sz w:val="24"/>
          <w:szCs w:val="24"/>
        </w:rPr>
        <w:t>Median Price -</w:t>
      </w:r>
      <w:r w:rsidRPr="00213AD6">
        <w:rPr>
          <w:rFonts w:ascii="Arial" w:hAnsi="Arial" w:cs="Arial"/>
          <w:sz w:val="24"/>
          <w:szCs w:val="24"/>
        </w:rPr>
        <w:t xml:space="preserve"> The median sale price for the </w:t>
      </w:r>
      <w:r w:rsidR="00C97D9D" w:rsidRPr="00213AD6">
        <w:rPr>
          <w:rFonts w:ascii="Arial" w:hAnsi="Arial" w:cs="Arial"/>
          <w:sz w:val="24"/>
          <w:szCs w:val="24"/>
        </w:rPr>
        <w:t>3</w:t>
      </w:r>
      <w:r w:rsidR="00C97D9D" w:rsidRPr="00213AD6">
        <w:rPr>
          <w:rFonts w:ascii="Arial" w:hAnsi="Arial" w:cs="Arial"/>
          <w:sz w:val="24"/>
          <w:szCs w:val="24"/>
          <w:vertAlign w:val="superscript"/>
        </w:rPr>
        <w:t>rd</w:t>
      </w:r>
      <w:r w:rsidR="00C97D9D" w:rsidRPr="00213AD6">
        <w:rPr>
          <w:rFonts w:ascii="Arial" w:hAnsi="Arial" w:cs="Arial"/>
          <w:sz w:val="24"/>
          <w:szCs w:val="24"/>
        </w:rPr>
        <w:t xml:space="preserve"> </w:t>
      </w:r>
      <w:r w:rsidRPr="00213AD6">
        <w:rPr>
          <w:rFonts w:ascii="Arial" w:hAnsi="Arial" w:cs="Arial"/>
          <w:sz w:val="24"/>
          <w:szCs w:val="24"/>
        </w:rPr>
        <w:t xml:space="preserve">quarter </w:t>
      </w:r>
      <w:r w:rsidR="0043629B" w:rsidRPr="00213AD6">
        <w:rPr>
          <w:rFonts w:ascii="Arial" w:hAnsi="Arial" w:cs="Arial"/>
          <w:sz w:val="24"/>
          <w:szCs w:val="24"/>
        </w:rPr>
        <w:t xml:space="preserve">fell </w:t>
      </w:r>
      <w:r w:rsidR="001177D5" w:rsidRPr="00213AD6">
        <w:rPr>
          <w:rFonts w:ascii="Arial" w:hAnsi="Arial" w:cs="Arial"/>
          <w:sz w:val="24"/>
          <w:szCs w:val="24"/>
        </w:rPr>
        <w:t>4</w:t>
      </w:r>
      <w:r w:rsidR="00C97D9D" w:rsidRPr="00213AD6">
        <w:rPr>
          <w:rFonts w:ascii="Arial" w:hAnsi="Arial" w:cs="Arial"/>
          <w:sz w:val="24"/>
          <w:szCs w:val="24"/>
        </w:rPr>
        <w:t xml:space="preserve">% </w:t>
      </w:r>
      <w:r w:rsidR="001177D5" w:rsidRPr="00213AD6">
        <w:rPr>
          <w:rFonts w:ascii="Arial" w:hAnsi="Arial" w:cs="Arial"/>
          <w:sz w:val="24"/>
          <w:szCs w:val="24"/>
        </w:rPr>
        <w:t xml:space="preserve">from Q2 </w:t>
      </w:r>
      <w:r w:rsidR="00C97D9D" w:rsidRPr="00213AD6">
        <w:rPr>
          <w:rFonts w:ascii="Arial" w:hAnsi="Arial" w:cs="Arial"/>
          <w:sz w:val="24"/>
          <w:szCs w:val="24"/>
        </w:rPr>
        <w:t>going from $</w:t>
      </w:r>
      <w:r w:rsidR="001177D5" w:rsidRPr="00213AD6">
        <w:rPr>
          <w:rFonts w:ascii="Arial" w:hAnsi="Arial" w:cs="Arial"/>
          <w:sz w:val="24"/>
          <w:szCs w:val="24"/>
        </w:rPr>
        <w:t>575</w:t>
      </w:r>
      <w:r w:rsidR="00C97D9D" w:rsidRPr="00213AD6">
        <w:rPr>
          <w:rFonts w:ascii="Arial" w:hAnsi="Arial" w:cs="Arial"/>
          <w:sz w:val="24"/>
          <w:szCs w:val="24"/>
        </w:rPr>
        <w:t>K to $</w:t>
      </w:r>
      <w:r w:rsidR="001177D5" w:rsidRPr="00213AD6">
        <w:rPr>
          <w:rFonts w:ascii="Arial" w:hAnsi="Arial" w:cs="Arial"/>
          <w:sz w:val="24"/>
          <w:szCs w:val="24"/>
        </w:rPr>
        <w:t>550</w:t>
      </w:r>
      <w:r w:rsidR="00C97D9D" w:rsidRPr="00213AD6">
        <w:rPr>
          <w:rFonts w:ascii="Arial" w:hAnsi="Arial" w:cs="Arial"/>
          <w:sz w:val="24"/>
          <w:szCs w:val="24"/>
        </w:rPr>
        <w:t>K</w:t>
      </w:r>
      <w:r w:rsidRPr="00213AD6">
        <w:rPr>
          <w:rFonts w:ascii="Arial" w:hAnsi="Arial" w:cs="Arial"/>
          <w:sz w:val="24"/>
          <w:szCs w:val="24"/>
        </w:rPr>
        <w:t>.</w:t>
      </w:r>
      <w:r w:rsidR="00C97D9D" w:rsidRPr="00213AD6">
        <w:rPr>
          <w:rFonts w:ascii="Arial" w:hAnsi="Arial" w:cs="Arial"/>
          <w:sz w:val="24"/>
          <w:szCs w:val="24"/>
        </w:rPr>
        <w:t xml:space="preserve"> </w:t>
      </w:r>
      <w:r w:rsidRPr="00213AD6">
        <w:rPr>
          <w:rFonts w:ascii="Arial" w:hAnsi="Arial" w:cs="Arial"/>
          <w:sz w:val="24"/>
          <w:szCs w:val="24"/>
        </w:rPr>
        <w:t xml:space="preserve">The median sale profile </w:t>
      </w:r>
      <w:r w:rsidR="00F61843" w:rsidRPr="00213AD6">
        <w:rPr>
          <w:rFonts w:ascii="Arial" w:hAnsi="Arial" w:cs="Arial"/>
          <w:sz w:val="24"/>
          <w:szCs w:val="24"/>
        </w:rPr>
        <w:t>was</w:t>
      </w:r>
      <w:r w:rsidRPr="00213AD6">
        <w:rPr>
          <w:rFonts w:ascii="Arial" w:hAnsi="Arial" w:cs="Arial"/>
          <w:sz w:val="24"/>
          <w:szCs w:val="24"/>
        </w:rPr>
        <w:t>: asking price of $</w:t>
      </w:r>
      <w:r w:rsidR="001177D5" w:rsidRPr="00213AD6">
        <w:rPr>
          <w:rFonts w:ascii="Arial" w:hAnsi="Arial" w:cs="Arial"/>
          <w:sz w:val="24"/>
          <w:szCs w:val="24"/>
        </w:rPr>
        <w:t>55</w:t>
      </w:r>
      <w:r w:rsidR="00C97D9D" w:rsidRPr="00213AD6">
        <w:rPr>
          <w:rFonts w:ascii="Arial" w:hAnsi="Arial" w:cs="Arial"/>
          <w:sz w:val="24"/>
          <w:szCs w:val="24"/>
        </w:rPr>
        <w:t>0K</w:t>
      </w:r>
      <w:r w:rsidRPr="00213AD6">
        <w:rPr>
          <w:rFonts w:ascii="Arial" w:hAnsi="Arial" w:cs="Arial"/>
          <w:sz w:val="24"/>
          <w:szCs w:val="24"/>
        </w:rPr>
        <w:t xml:space="preserve">, </w:t>
      </w:r>
      <w:r w:rsidR="0043629B" w:rsidRPr="00213AD6">
        <w:rPr>
          <w:rFonts w:ascii="Arial" w:hAnsi="Arial" w:cs="Arial"/>
          <w:sz w:val="24"/>
          <w:szCs w:val="24"/>
        </w:rPr>
        <w:t>1805</w:t>
      </w:r>
      <w:r w:rsidRPr="00213AD6">
        <w:rPr>
          <w:rFonts w:ascii="Arial" w:hAnsi="Arial" w:cs="Arial"/>
          <w:sz w:val="24"/>
          <w:szCs w:val="24"/>
        </w:rPr>
        <w:t xml:space="preserve"> SF on 0.</w:t>
      </w:r>
      <w:r w:rsidR="00214DF1" w:rsidRPr="00213AD6">
        <w:rPr>
          <w:rFonts w:ascii="Arial" w:hAnsi="Arial" w:cs="Arial"/>
          <w:sz w:val="24"/>
          <w:szCs w:val="24"/>
        </w:rPr>
        <w:t>5</w:t>
      </w:r>
      <w:r w:rsidRPr="00213AD6">
        <w:rPr>
          <w:rFonts w:ascii="Arial" w:hAnsi="Arial" w:cs="Arial"/>
          <w:sz w:val="24"/>
          <w:szCs w:val="24"/>
        </w:rPr>
        <w:t xml:space="preserve"> acre, built in </w:t>
      </w:r>
      <w:r w:rsidR="00F61843" w:rsidRPr="00213AD6">
        <w:rPr>
          <w:rFonts w:ascii="Arial" w:hAnsi="Arial" w:cs="Arial"/>
          <w:sz w:val="24"/>
          <w:szCs w:val="24"/>
        </w:rPr>
        <w:t>199</w:t>
      </w:r>
      <w:r w:rsidR="0043629B" w:rsidRPr="00213AD6">
        <w:rPr>
          <w:rFonts w:ascii="Arial" w:hAnsi="Arial" w:cs="Arial"/>
          <w:sz w:val="24"/>
          <w:szCs w:val="24"/>
        </w:rPr>
        <w:t>6</w:t>
      </w:r>
      <w:r w:rsidRPr="00213AD6">
        <w:rPr>
          <w:rFonts w:ascii="Arial" w:hAnsi="Arial" w:cs="Arial"/>
          <w:sz w:val="24"/>
          <w:szCs w:val="24"/>
        </w:rPr>
        <w:t xml:space="preserve">, on the market for </w:t>
      </w:r>
      <w:r w:rsidR="0043629B" w:rsidRPr="00213AD6">
        <w:rPr>
          <w:rFonts w:ascii="Arial" w:hAnsi="Arial" w:cs="Arial"/>
          <w:sz w:val="24"/>
          <w:szCs w:val="24"/>
        </w:rPr>
        <w:t>13</w:t>
      </w:r>
      <w:r w:rsidRPr="00213AD6">
        <w:rPr>
          <w:rFonts w:ascii="Arial" w:hAnsi="Arial" w:cs="Arial"/>
          <w:sz w:val="24"/>
          <w:szCs w:val="24"/>
        </w:rPr>
        <w:t xml:space="preserve"> days (average days on market was </w:t>
      </w:r>
      <w:r w:rsidR="00C97D9D" w:rsidRPr="00213AD6">
        <w:rPr>
          <w:rFonts w:ascii="Arial" w:hAnsi="Arial" w:cs="Arial"/>
          <w:sz w:val="24"/>
          <w:szCs w:val="24"/>
        </w:rPr>
        <w:t>2</w:t>
      </w:r>
      <w:r w:rsidR="0043629B" w:rsidRPr="00213AD6">
        <w:rPr>
          <w:rFonts w:ascii="Arial" w:hAnsi="Arial" w:cs="Arial"/>
          <w:sz w:val="24"/>
          <w:szCs w:val="24"/>
        </w:rPr>
        <w:t>7</w:t>
      </w:r>
      <w:r w:rsidRPr="00213AD6">
        <w:rPr>
          <w:rFonts w:ascii="Arial" w:hAnsi="Arial" w:cs="Arial"/>
          <w:sz w:val="24"/>
          <w:szCs w:val="24"/>
        </w:rPr>
        <w:t>), sold at $</w:t>
      </w:r>
      <w:r w:rsidR="0043629B" w:rsidRPr="00213AD6">
        <w:rPr>
          <w:rFonts w:ascii="Arial" w:hAnsi="Arial" w:cs="Arial"/>
          <w:sz w:val="24"/>
          <w:szCs w:val="24"/>
        </w:rPr>
        <w:t>306</w:t>
      </w:r>
      <w:r w:rsidRPr="00213AD6">
        <w:rPr>
          <w:rFonts w:ascii="Arial" w:hAnsi="Arial" w:cs="Arial"/>
          <w:sz w:val="24"/>
          <w:szCs w:val="24"/>
        </w:rPr>
        <w:t xml:space="preserve">/SF </w:t>
      </w:r>
      <w:r w:rsidR="00EE777F" w:rsidRPr="00213AD6">
        <w:rPr>
          <w:rFonts w:ascii="Arial" w:hAnsi="Arial" w:cs="Arial"/>
          <w:sz w:val="24"/>
          <w:szCs w:val="24"/>
        </w:rPr>
        <w:t xml:space="preserve">(down from $314/SF last quarter) </w:t>
      </w:r>
      <w:r w:rsidRPr="00213AD6">
        <w:rPr>
          <w:rFonts w:ascii="Arial" w:hAnsi="Arial" w:cs="Arial"/>
          <w:sz w:val="24"/>
          <w:szCs w:val="24"/>
        </w:rPr>
        <w:t>and at 10</w:t>
      </w:r>
      <w:r w:rsidR="0043629B" w:rsidRPr="00213AD6">
        <w:rPr>
          <w:rFonts w:ascii="Arial" w:hAnsi="Arial" w:cs="Arial"/>
          <w:sz w:val="24"/>
          <w:szCs w:val="24"/>
        </w:rPr>
        <w:t>0</w:t>
      </w:r>
      <w:r w:rsidRPr="00213AD6">
        <w:rPr>
          <w:rFonts w:ascii="Arial" w:hAnsi="Arial" w:cs="Arial"/>
          <w:sz w:val="24"/>
          <w:szCs w:val="24"/>
        </w:rPr>
        <w:t>% of the last asking price. The average list price was $</w:t>
      </w:r>
      <w:r w:rsidR="00C97D9D" w:rsidRPr="00213AD6">
        <w:rPr>
          <w:rFonts w:ascii="Arial" w:hAnsi="Arial" w:cs="Arial"/>
          <w:sz w:val="24"/>
          <w:szCs w:val="24"/>
        </w:rPr>
        <w:t>5</w:t>
      </w:r>
      <w:r w:rsidR="0043629B" w:rsidRPr="00213AD6">
        <w:rPr>
          <w:rFonts w:ascii="Arial" w:hAnsi="Arial" w:cs="Arial"/>
          <w:sz w:val="24"/>
          <w:szCs w:val="24"/>
        </w:rPr>
        <w:t>8</w:t>
      </w:r>
      <w:r w:rsidR="00C97D9D" w:rsidRPr="00213AD6">
        <w:rPr>
          <w:rFonts w:ascii="Arial" w:hAnsi="Arial" w:cs="Arial"/>
          <w:sz w:val="24"/>
          <w:szCs w:val="24"/>
        </w:rPr>
        <w:t>1,</w:t>
      </w:r>
      <w:r w:rsidR="0043629B" w:rsidRPr="00213AD6">
        <w:rPr>
          <w:rFonts w:ascii="Arial" w:hAnsi="Arial" w:cs="Arial"/>
          <w:sz w:val="24"/>
          <w:szCs w:val="24"/>
        </w:rPr>
        <w:t>347</w:t>
      </w:r>
      <w:r w:rsidRPr="00213AD6">
        <w:rPr>
          <w:rFonts w:ascii="Arial" w:hAnsi="Arial" w:cs="Arial"/>
          <w:sz w:val="24"/>
          <w:szCs w:val="24"/>
        </w:rPr>
        <w:t xml:space="preserve"> and the average sale price was $</w:t>
      </w:r>
      <w:r w:rsidR="00C97D9D" w:rsidRPr="00213AD6">
        <w:rPr>
          <w:rFonts w:ascii="Arial" w:hAnsi="Arial" w:cs="Arial"/>
          <w:sz w:val="24"/>
          <w:szCs w:val="24"/>
        </w:rPr>
        <w:t>5</w:t>
      </w:r>
      <w:r w:rsidR="0043629B" w:rsidRPr="00213AD6">
        <w:rPr>
          <w:rFonts w:ascii="Arial" w:hAnsi="Arial" w:cs="Arial"/>
          <w:sz w:val="24"/>
          <w:szCs w:val="24"/>
        </w:rPr>
        <w:t>75</w:t>
      </w:r>
      <w:r w:rsidR="00C97D9D" w:rsidRPr="00213AD6">
        <w:rPr>
          <w:rFonts w:ascii="Arial" w:hAnsi="Arial" w:cs="Arial"/>
          <w:sz w:val="24"/>
          <w:szCs w:val="24"/>
        </w:rPr>
        <w:t>,</w:t>
      </w:r>
      <w:r w:rsidR="0043629B" w:rsidRPr="00213AD6">
        <w:rPr>
          <w:rFonts w:ascii="Arial" w:hAnsi="Arial" w:cs="Arial"/>
          <w:sz w:val="24"/>
          <w:szCs w:val="24"/>
        </w:rPr>
        <w:t>119</w:t>
      </w:r>
      <w:r w:rsidRPr="00213AD6">
        <w:rPr>
          <w:rFonts w:ascii="Arial" w:hAnsi="Arial" w:cs="Arial"/>
          <w:sz w:val="24"/>
          <w:szCs w:val="24"/>
        </w:rPr>
        <w:t>.</w:t>
      </w:r>
    </w:p>
    <w:p w14:paraId="523BEF17" w14:textId="75C37AC0" w:rsidR="00B46C4D" w:rsidRDefault="00A3298F" w:rsidP="00AD3B1B">
      <w:pPr>
        <w:rPr>
          <w:b/>
        </w:rPr>
      </w:pPr>
      <w:r>
        <w:rPr>
          <w:b/>
        </w:rPr>
        <w:br w:type="page"/>
      </w:r>
    </w:p>
    <w:p w14:paraId="7373A19B" w14:textId="5C8D2750" w:rsidR="004B4233" w:rsidRDefault="00401517" w:rsidP="00B46C4D">
      <w:pPr>
        <w:rPr>
          <w:b/>
          <w:sz w:val="24"/>
          <w:szCs w:val="24"/>
        </w:rPr>
      </w:pPr>
      <w:r>
        <w:rPr>
          <w:noProof/>
        </w:rPr>
        <w:lastRenderedPageBreak/>
        <w:drawing>
          <wp:inline distT="0" distB="0" distL="0" distR="0" wp14:anchorId="2E2A1F5A" wp14:editId="0EF268B6">
            <wp:extent cx="6858000" cy="4903470"/>
            <wp:effectExtent l="0" t="0" r="0" b="11430"/>
            <wp:docPr id="10" name="Chart 10">
              <a:extLst xmlns:a="http://schemas.openxmlformats.org/drawingml/2006/main">
                <a:ext uri="{FF2B5EF4-FFF2-40B4-BE49-F238E27FC236}">
                  <a16:creationId xmlns:a16="http://schemas.microsoft.com/office/drawing/2014/main" id="{00000000-0008-0000-1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2C94435" w14:textId="7AC3898E" w:rsidR="00C27204" w:rsidRPr="00D60694" w:rsidRDefault="00C27204" w:rsidP="00B46C4D">
      <w:pPr>
        <w:rPr>
          <w:rFonts w:ascii="Arial" w:hAnsi="Arial" w:cs="Arial"/>
          <w:sz w:val="24"/>
          <w:szCs w:val="24"/>
        </w:rPr>
      </w:pPr>
      <w:r w:rsidRPr="00D60694">
        <w:rPr>
          <w:rFonts w:ascii="Arial" w:hAnsi="Arial" w:cs="Arial"/>
          <w:b/>
          <w:sz w:val="24"/>
          <w:szCs w:val="24"/>
        </w:rPr>
        <w:t>Housing Inventory</w:t>
      </w:r>
      <w:r w:rsidRPr="00D60694">
        <w:rPr>
          <w:rFonts w:ascii="Arial" w:hAnsi="Arial" w:cs="Arial"/>
          <w:sz w:val="24"/>
          <w:szCs w:val="24"/>
        </w:rPr>
        <w:t xml:space="preserve"> – Like most markets, Sequim’s housing market follows seasonal trends: more inventory and sales in the warmer months and fewer when it gets colder. Because of this we like to compare like quarters in terms of inventory and volume. The inventory this past quarter </w:t>
      </w:r>
      <w:r w:rsidR="00897259" w:rsidRPr="00D60694">
        <w:rPr>
          <w:rFonts w:ascii="Arial" w:hAnsi="Arial" w:cs="Arial"/>
          <w:sz w:val="24"/>
          <w:szCs w:val="24"/>
        </w:rPr>
        <w:t>was up 9% compared to this time last year</w:t>
      </w:r>
      <w:r w:rsidR="005F43FF" w:rsidRPr="00D60694">
        <w:rPr>
          <w:rFonts w:ascii="Arial" w:hAnsi="Arial" w:cs="Arial"/>
          <w:sz w:val="24"/>
          <w:szCs w:val="24"/>
        </w:rPr>
        <w:t xml:space="preserve">. </w:t>
      </w:r>
      <w:r w:rsidR="00897259" w:rsidRPr="00D60694">
        <w:rPr>
          <w:rFonts w:ascii="Arial" w:hAnsi="Arial" w:cs="Arial"/>
          <w:sz w:val="24"/>
          <w:szCs w:val="24"/>
        </w:rPr>
        <w:t>This graph perfectly illustrates the bigger picture of our market – only last year’s historically low inventory was lower than this past quarter’s available housing supply.</w:t>
      </w:r>
      <w:r w:rsidR="008F6D05" w:rsidRPr="00D60694">
        <w:rPr>
          <w:rFonts w:ascii="Arial" w:hAnsi="Arial" w:cs="Arial"/>
          <w:sz w:val="24"/>
          <w:szCs w:val="24"/>
        </w:rPr>
        <w:t xml:space="preserve"> </w:t>
      </w:r>
    </w:p>
    <w:p w14:paraId="506DA957" w14:textId="6F3275F3" w:rsidR="008662FF" w:rsidRPr="00D60694" w:rsidRDefault="00C27204" w:rsidP="00B46C4D">
      <w:pPr>
        <w:rPr>
          <w:rFonts w:ascii="Arial" w:hAnsi="Arial" w:cs="Arial"/>
          <w:sz w:val="24"/>
          <w:szCs w:val="24"/>
        </w:rPr>
      </w:pPr>
      <w:r w:rsidRPr="00D60694">
        <w:rPr>
          <w:rFonts w:ascii="Arial" w:hAnsi="Arial" w:cs="Arial"/>
          <w:b/>
          <w:sz w:val="24"/>
          <w:szCs w:val="24"/>
        </w:rPr>
        <w:t>Current inventory</w:t>
      </w:r>
      <w:r w:rsidRPr="00D60694">
        <w:rPr>
          <w:rFonts w:ascii="Arial" w:hAnsi="Arial" w:cs="Arial"/>
          <w:sz w:val="24"/>
          <w:szCs w:val="24"/>
        </w:rPr>
        <w:t xml:space="preserve"> – as of the date of this report, there are </w:t>
      </w:r>
      <w:r w:rsidR="008662FF" w:rsidRPr="00D60694">
        <w:rPr>
          <w:rFonts w:ascii="Arial" w:hAnsi="Arial" w:cs="Arial"/>
          <w:sz w:val="24"/>
          <w:szCs w:val="24"/>
        </w:rPr>
        <w:t>175</w:t>
      </w:r>
      <w:r w:rsidRPr="00D60694">
        <w:rPr>
          <w:rFonts w:ascii="Arial" w:hAnsi="Arial" w:cs="Arial"/>
          <w:sz w:val="24"/>
          <w:szCs w:val="24"/>
        </w:rPr>
        <w:t xml:space="preserve"> homes on the market in Sequim with a median asking price of $</w:t>
      </w:r>
      <w:r w:rsidR="008662FF" w:rsidRPr="00D60694">
        <w:rPr>
          <w:rFonts w:ascii="Arial" w:hAnsi="Arial" w:cs="Arial"/>
          <w:sz w:val="24"/>
          <w:szCs w:val="24"/>
        </w:rPr>
        <w:t>600</w:t>
      </w:r>
      <w:r w:rsidRPr="00D60694">
        <w:rPr>
          <w:rFonts w:ascii="Arial" w:hAnsi="Arial" w:cs="Arial"/>
          <w:sz w:val="24"/>
          <w:szCs w:val="24"/>
        </w:rPr>
        <w:t>K</w:t>
      </w:r>
      <w:r w:rsidR="002C33B1" w:rsidRPr="00D60694">
        <w:rPr>
          <w:rFonts w:ascii="Arial" w:hAnsi="Arial" w:cs="Arial"/>
          <w:sz w:val="24"/>
          <w:szCs w:val="24"/>
        </w:rPr>
        <w:t xml:space="preserve">. </w:t>
      </w:r>
      <w:r w:rsidR="00770554" w:rsidRPr="00D60694">
        <w:rPr>
          <w:rFonts w:ascii="Arial" w:hAnsi="Arial" w:cs="Arial"/>
          <w:sz w:val="24"/>
          <w:szCs w:val="24"/>
        </w:rPr>
        <w:t>Th</w:t>
      </w:r>
      <w:r w:rsidR="00A4749D" w:rsidRPr="00D60694">
        <w:rPr>
          <w:rFonts w:ascii="Arial" w:hAnsi="Arial" w:cs="Arial"/>
          <w:sz w:val="24"/>
          <w:szCs w:val="24"/>
        </w:rPr>
        <w:t>e</w:t>
      </w:r>
      <w:r w:rsidR="00770554" w:rsidRPr="00D60694">
        <w:rPr>
          <w:rFonts w:ascii="Arial" w:hAnsi="Arial" w:cs="Arial"/>
          <w:sz w:val="24"/>
          <w:szCs w:val="24"/>
        </w:rPr>
        <w:t xml:space="preserve"> average </w:t>
      </w:r>
      <w:r w:rsidR="00915A27">
        <w:rPr>
          <w:rFonts w:ascii="Arial" w:hAnsi="Arial" w:cs="Arial"/>
          <w:sz w:val="24"/>
          <w:szCs w:val="24"/>
        </w:rPr>
        <w:t>d</w:t>
      </w:r>
      <w:r w:rsidR="00770554" w:rsidRPr="00D60694">
        <w:rPr>
          <w:rFonts w:ascii="Arial" w:hAnsi="Arial" w:cs="Arial"/>
          <w:sz w:val="24"/>
          <w:szCs w:val="24"/>
        </w:rPr>
        <w:t xml:space="preserve">ays on </w:t>
      </w:r>
      <w:r w:rsidR="00915A27">
        <w:rPr>
          <w:rFonts w:ascii="Arial" w:hAnsi="Arial" w:cs="Arial"/>
          <w:sz w:val="24"/>
          <w:szCs w:val="24"/>
        </w:rPr>
        <w:t>m</w:t>
      </w:r>
      <w:r w:rsidR="00770554" w:rsidRPr="00D60694">
        <w:rPr>
          <w:rFonts w:ascii="Arial" w:hAnsi="Arial" w:cs="Arial"/>
          <w:sz w:val="24"/>
          <w:szCs w:val="24"/>
        </w:rPr>
        <w:t xml:space="preserve">arket for our inventory is </w:t>
      </w:r>
      <w:r w:rsidR="008662FF" w:rsidRPr="00D60694">
        <w:rPr>
          <w:rFonts w:ascii="Arial" w:hAnsi="Arial" w:cs="Arial"/>
          <w:sz w:val="24"/>
          <w:szCs w:val="24"/>
        </w:rPr>
        <w:t>69</w:t>
      </w:r>
      <w:r w:rsidR="00D53B68" w:rsidRPr="00D60694">
        <w:rPr>
          <w:rFonts w:ascii="Arial" w:hAnsi="Arial" w:cs="Arial"/>
          <w:sz w:val="24"/>
          <w:szCs w:val="24"/>
        </w:rPr>
        <w:t xml:space="preserve"> </w:t>
      </w:r>
      <w:r w:rsidR="00770554" w:rsidRPr="00D60694">
        <w:rPr>
          <w:rFonts w:ascii="Arial" w:hAnsi="Arial" w:cs="Arial"/>
          <w:sz w:val="24"/>
          <w:szCs w:val="24"/>
        </w:rPr>
        <w:t xml:space="preserve">days </w:t>
      </w:r>
      <w:r w:rsidR="00C14F29" w:rsidRPr="00D60694">
        <w:rPr>
          <w:rFonts w:ascii="Arial" w:hAnsi="Arial" w:cs="Arial"/>
          <w:sz w:val="24"/>
          <w:szCs w:val="24"/>
        </w:rPr>
        <w:t xml:space="preserve">up from </w:t>
      </w:r>
      <w:r w:rsidR="008662FF" w:rsidRPr="00D60694">
        <w:rPr>
          <w:rFonts w:ascii="Arial" w:hAnsi="Arial" w:cs="Arial"/>
          <w:sz w:val="24"/>
          <w:szCs w:val="24"/>
        </w:rPr>
        <w:t>46 days</w:t>
      </w:r>
      <w:r w:rsidR="00C14F29" w:rsidRPr="00D60694">
        <w:rPr>
          <w:rFonts w:ascii="Arial" w:hAnsi="Arial" w:cs="Arial"/>
          <w:sz w:val="24"/>
          <w:szCs w:val="24"/>
        </w:rPr>
        <w:t xml:space="preserve"> this time last year</w:t>
      </w:r>
      <w:r w:rsidR="008662FF" w:rsidRPr="00D60694">
        <w:rPr>
          <w:rFonts w:ascii="Arial" w:hAnsi="Arial" w:cs="Arial"/>
          <w:sz w:val="24"/>
          <w:szCs w:val="24"/>
        </w:rPr>
        <w:t xml:space="preserve"> </w:t>
      </w:r>
      <w:r w:rsidR="00770554" w:rsidRPr="00D60694">
        <w:rPr>
          <w:rFonts w:ascii="Arial" w:hAnsi="Arial" w:cs="Arial"/>
          <w:sz w:val="24"/>
          <w:szCs w:val="24"/>
        </w:rPr>
        <w:t xml:space="preserve">and the median is </w:t>
      </w:r>
      <w:r w:rsidR="008662FF" w:rsidRPr="00D60694">
        <w:rPr>
          <w:rFonts w:ascii="Arial" w:hAnsi="Arial" w:cs="Arial"/>
          <w:sz w:val="24"/>
          <w:szCs w:val="24"/>
        </w:rPr>
        <w:t>at 47</w:t>
      </w:r>
      <w:r w:rsidR="008F6D05" w:rsidRPr="00D60694">
        <w:rPr>
          <w:rFonts w:ascii="Arial" w:hAnsi="Arial" w:cs="Arial"/>
          <w:sz w:val="24"/>
          <w:szCs w:val="24"/>
        </w:rPr>
        <w:t xml:space="preserve"> days</w:t>
      </w:r>
      <w:r w:rsidR="008662FF" w:rsidRPr="00D60694">
        <w:rPr>
          <w:rFonts w:ascii="Arial" w:hAnsi="Arial" w:cs="Arial"/>
          <w:sz w:val="24"/>
          <w:szCs w:val="24"/>
        </w:rPr>
        <w:t xml:space="preserve"> up from the 22 days in Q3 of 2021</w:t>
      </w:r>
      <w:r w:rsidR="00770554" w:rsidRPr="00D60694">
        <w:rPr>
          <w:rFonts w:ascii="Arial" w:hAnsi="Arial" w:cs="Arial"/>
          <w:sz w:val="24"/>
          <w:szCs w:val="24"/>
        </w:rPr>
        <w:t>.</w:t>
      </w:r>
      <w:r w:rsidR="00A4749D" w:rsidRPr="00D60694">
        <w:rPr>
          <w:rFonts w:ascii="Arial" w:hAnsi="Arial" w:cs="Arial"/>
          <w:sz w:val="24"/>
          <w:szCs w:val="24"/>
        </w:rPr>
        <w:t xml:space="preserve"> </w:t>
      </w:r>
      <w:r w:rsidRPr="00D60694">
        <w:rPr>
          <w:rFonts w:ascii="Arial" w:hAnsi="Arial" w:cs="Arial"/>
          <w:sz w:val="24"/>
          <w:szCs w:val="24"/>
        </w:rPr>
        <w:t xml:space="preserve">Currently </w:t>
      </w:r>
      <w:r w:rsidR="008662FF" w:rsidRPr="00D60694">
        <w:rPr>
          <w:rFonts w:ascii="Arial" w:hAnsi="Arial" w:cs="Arial"/>
          <w:sz w:val="24"/>
          <w:szCs w:val="24"/>
        </w:rPr>
        <w:t>50</w:t>
      </w:r>
      <w:r w:rsidRPr="00D60694">
        <w:rPr>
          <w:rFonts w:ascii="Arial" w:hAnsi="Arial" w:cs="Arial"/>
          <w:sz w:val="24"/>
          <w:szCs w:val="24"/>
        </w:rPr>
        <w:t xml:space="preserve"> of those </w:t>
      </w:r>
      <w:r w:rsidR="00FF2CC9" w:rsidRPr="00D60694">
        <w:rPr>
          <w:rFonts w:ascii="Arial" w:hAnsi="Arial" w:cs="Arial"/>
          <w:sz w:val="24"/>
          <w:szCs w:val="24"/>
        </w:rPr>
        <w:t>1</w:t>
      </w:r>
      <w:r w:rsidR="008662FF" w:rsidRPr="00D60694">
        <w:rPr>
          <w:rFonts w:ascii="Arial" w:hAnsi="Arial" w:cs="Arial"/>
          <w:sz w:val="24"/>
          <w:szCs w:val="24"/>
        </w:rPr>
        <w:t>75</w:t>
      </w:r>
      <w:r w:rsidRPr="00D60694">
        <w:rPr>
          <w:rFonts w:ascii="Arial" w:hAnsi="Arial" w:cs="Arial"/>
          <w:sz w:val="24"/>
          <w:szCs w:val="24"/>
        </w:rPr>
        <w:t xml:space="preserve"> homes on the market are either under contract or are pending sales</w:t>
      </w:r>
      <w:r w:rsidR="00957388" w:rsidRPr="00D60694">
        <w:rPr>
          <w:rFonts w:ascii="Arial" w:hAnsi="Arial" w:cs="Arial"/>
          <w:sz w:val="24"/>
          <w:szCs w:val="24"/>
        </w:rPr>
        <w:t>,</w:t>
      </w:r>
      <w:r w:rsidRPr="00D60694">
        <w:rPr>
          <w:rFonts w:ascii="Arial" w:hAnsi="Arial" w:cs="Arial"/>
          <w:sz w:val="24"/>
          <w:szCs w:val="24"/>
        </w:rPr>
        <w:t xml:space="preserve"> leaving </w:t>
      </w:r>
      <w:r w:rsidR="008662FF" w:rsidRPr="00D60694">
        <w:rPr>
          <w:rFonts w:ascii="Arial" w:hAnsi="Arial" w:cs="Arial"/>
          <w:sz w:val="24"/>
          <w:szCs w:val="24"/>
        </w:rPr>
        <w:t>125</w:t>
      </w:r>
      <w:r w:rsidRPr="00D60694">
        <w:rPr>
          <w:rFonts w:ascii="Arial" w:hAnsi="Arial" w:cs="Arial"/>
          <w:sz w:val="24"/>
          <w:szCs w:val="24"/>
        </w:rPr>
        <w:t xml:space="preserve"> homes</w:t>
      </w:r>
      <w:r w:rsidR="00FF2CC9" w:rsidRPr="00D60694">
        <w:rPr>
          <w:rFonts w:ascii="Arial" w:hAnsi="Arial" w:cs="Arial"/>
          <w:sz w:val="24"/>
          <w:szCs w:val="24"/>
        </w:rPr>
        <w:t xml:space="preserve">, or </w:t>
      </w:r>
      <w:r w:rsidR="008662FF" w:rsidRPr="00D60694">
        <w:rPr>
          <w:rFonts w:ascii="Arial" w:hAnsi="Arial" w:cs="Arial"/>
          <w:sz w:val="24"/>
          <w:szCs w:val="24"/>
        </w:rPr>
        <w:t>71</w:t>
      </w:r>
      <w:r w:rsidR="00FF2CC9" w:rsidRPr="00D60694">
        <w:rPr>
          <w:rFonts w:ascii="Arial" w:hAnsi="Arial" w:cs="Arial"/>
          <w:sz w:val="24"/>
          <w:szCs w:val="24"/>
        </w:rPr>
        <w:t>% of the active inventory</w:t>
      </w:r>
      <w:r w:rsidR="0006601C" w:rsidRPr="00D60694">
        <w:rPr>
          <w:rFonts w:ascii="Arial" w:hAnsi="Arial" w:cs="Arial"/>
          <w:sz w:val="24"/>
          <w:szCs w:val="24"/>
        </w:rPr>
        <w:t>,</w:t>
      </w:r>
      <w:r w:rsidRPr="00D60694">
        <w:rPr>
          <w:rFonts w:ascii="Arial" w:hAnsi="Arial" w:cs="Arial"/>
          <w:sz w:val="24"/>
          <w:szCs w:val="24"/>
        </w:rPr>
        <w:t xml:space="preserve"> </w:t>
      </w:r>
      <w:r w:rsidR="00FF2CC9" w:rsidRPr="00D60694">
        <w:rPr>
          <w:rFonts w:ascii="Arial" w:hAnsi="Arial" w:cs="Arial"/>
          <w:sz w:val="24"/>
          <w:szCs w:val="24"/>
        </w:rPr>
        <w:t>available for interested buyers</w:t>
      </w:r>
      <w:r w:rsidRPr="00D60694">
        <w:rPr>
          <w:rFonts w:ascii="Arial" w:hAnsi="Arial" w:cs="Arial"/>
          <w:sz w:val="24"/>
          <w:szCs w:val="24"/>
        </w:rPr>
        <w:t>.</w:t>
      </w:r>
      <w:r w:rsidR="008662FF" w:rsidRPr="00D60694">
        <w:rPr>
          <w:rFonts w:ascii="Arial" w:hAnsi="Arial" w:cs="Arial"/>
          <w:sz w:val="24"/>
          <w:szCs w:val="24"/>
        </w:rPr>
        <w:t xml:space="preserve"> Compare those 125 homes that are actually available to the 57 homes that were available this same time last year. </w:t>
      </w:r>
    </w:p>
    <w:p w14:paraId="56EE3F7B" w14:textId="77777777" w:rsidR="00D60694" w:rsidRDefault="00D60694" w:rsidP="00D60694">
      <w:pPr>
        <w:rPr>
          <w:rFonts w:ascii="Arial" w:hAnsi="Arial" w:cs="Arial"/>
          <w:bCs/>
          <w:sz w:val="20"/>
          <w:szCs w:val="20"/>
        </w:rPr>
      </w:pPr>
    </w:p>
    <w:p w14:paraId="7D68B7C1" w14:textId="00584F7E" w:rsidR="00D60694" w:rsidRPr="00D60694" w:rsidRDefault="00D60694" w:rsidP="00D60694">
      <w:pPr>
        <w:rPr>
          <w:rFonts w:ascii="Arial" w:hAnsi="Arial" w:cs="Arial"/>
          <w:bCs/>
          <w:sz w:val="20"/>
          <w:szCs w:val="20"/>
        </w:rPr>
      </w:pPr>
      <w:r w:rsidRPr="00D60694">
        <w:rPr>
          <w:rFonts w:ascii="Arial" w:hAnsi="Arial" w:cs="Arial"/>
          <w:bCs/>
          <w:sz w:val="20"/>
          <w:szCs w:val="20"/>
        </w:rPr>
        <w:t>*Sequim area is roughly defined as the Sequim School District boundaries stretching east just past the Jefferson County line and west to Blue Mountain and Lewis Rd., excluding homes on leased land. Data is collected from the Olympic Listing Service.</w:t>
      </w:r>
    </w:p>
    <w:p w14:paraId="14CD9486" w14:textId="19514B19" w:rsidR="00B767F5" w:rsidRDefault="00B767F5" w:rsidP="00B46C4D">
      <w:pPr>
        <w:rPr>
          <w:b/>
        </w:rPr>
      </w:pPr>
    </w:p>
    <w:p w14:paraId="78E49758" w14:textId="6DDD4966" w:rsidR="007B748C" w:rsidRDefault="007B748C" w:rsidP="00AD3B1B">
      <w:pPr>
        <w:rPr>
          <w:sz w:val="24"/>
          <w:szCs w:val="24"/>
        </w:rPr>
      </w:pPr>
    </w:p>
    <w:p w14:paraId="168F8B77" w14:textId="43507B99" w:rsidR="00611216" w:rsidRDefault="00611216" w:rsidP="00B46C4D">
      <w:pPr>
        <w:rPr>
          <w:rFonts w:ascii="Arial" w:hAnsi="Arial" w:cs="Arial"/>
          <w:b/>
          <w:sz w:val="24"/>
          <w:szCs w:val="24"/>
        </w:rPr>
      </w:pPr>
      <w:r>
        <w:rPr>
          <w:noProof/>
        </w:rPr>
        <w:lastRenderedPageBreak/>
        <w:drawing>
          <wp:inline distT="0" distB="0" distL="0" distR="0" wp14:anchorId="01A27E84" wp14:editId="6DDBD7A5">
            <wp:extent cx="6858000" cy="4549775"/>
            <wp:effectExtent l="0" t="0" r="0" b="3175"/>
            <wp:docPr id="11" name="Chart 11">
              <a:extLst xmlns:a="http://schemas.openxmlformats.org/drawingml/2006/main">
                <a:ext uri="{FF2B5EF4-FFF2-40B4-BE49-F238E27FC236}">
                  <a16:creationId xmlns:a16="http://schemas.microsoft.com/office/drawing/2014/main" id="{00000000-0008-0000-0C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3977EBE" w14:textId="326202B8" w:rsidR="00153FE9" w:rsidRPr="00926A24" w:rsidRDefault="00D7796A" w:rsidP="00B46C4D">
      <w:pPr>
        <w:rPr>
          <w:rFonts w:ascii="Arial" w:hAnsi="Arial" w:cs="Arial"/>
          <w:sz w:val="24"/>
          <w:szCs w:val="24"/>
        </w:rPr>
      </w:pPr>
      <w:r w:rsidRPr="00926A24">
        <w:rPr>
          <w:rFonts w:ascii="Arial" w:hAnsi="Arial" w:cs="Arial"/>
          <w:b/>
          <w:sz w:val="24"/>
          <w:szCs w:val="24"/>
        </w:rPr>
        <w:t>3rd</w:t>
      </w:r>
      <w:r w:rsidR="00C27204" w:rsidRPr="00926A24">
        <w:rPr>
          <w:rFonts w:ascii="Arial" w:hAnsi="Arial" w:cs="Arial"/>
          <w:b/>
          <w:sz w:val="24"/>
          <w:szCs w:val="24"/>
        </w:rPr>
        <w:t xml:space="preserve"> Quarter Home Sale Volume:</w:t>
      </w:r>
      <w:r w:rsidR="00C27204" w:rsidRPr="00926A24">
        <w:rPr>
          <w:rFonts w:ascii="Arial" w:hAnsi="Arial" w:cs="Arial"/>
          <w:sz w:val="24"/>
          <w:szCs w:val="24"/>
        </w:rPr>
        <w:t xml:space="preserve"> There were an average of </w:t>
      </w:r>
      <w:r w:rsidR="00A065DA" w:rsidRPr="00926A24">
        <w:rPr>
          <w:rFonts w:ascii="Arial" w:hAnsi="Arial" w:cs="Arial"/>
          <w:sz w:val="24"/>
          <w:szCs w:val="24"/>
        </w:rPr>
        <w:t>4</w:t>
      </w:r>
      <w:r w:rsidR="002C33B1" w:rsidRPr="00926A24">
        <w:rPr>
          <w:rFonts w:ascii="Arial" w:hAnsi="Arial" w:cs="Arial"/>
          <w:sz w:val="24"/>
          <w:szCs w:val="24"/>
        </w:rPr>
        <w:t>8</w:t>
      </w:r>
      <w:r w:rsidR="00C27204" w:rsidRPr="00926A24">
        <w:rPr>
          <w:rFonts w:ascii="Arial" w:hAnsi="Arial" w:cs="Arial"/>
          <w:sz w:val="24"/>
          <w:szCs w:val="24"/>
        </w:rPr>
        <w:t xml:space="preserve"> home sales/month over the </w:t>
      </w:r>
      <w:r w:rsidR="000737C3">
        <w:rPr>
          <w:rFonts w:ascii="Arial" w:hAnsi="Arial" w:cs="Arial"/>
          <w:sz w:val="24"/>
          <w:szCs w:val="24"/>
        </w:rPr>
        <w:t>3rd</w:t>
      </w:r>
      <w:r w:rsidR="00C27204" w:rsidRPr="00926A24">
        <w:rPr>
          <w:rFonts w:ascii="Arial" w:hAnsi="Arial" w:cs="Arial"/>
          <w:sz w:val="24"/>
          <w:szCs w:val="24"/>
        </w:rPr>
        <w:t xml:space="preserve"> quarter of 20</w:t>
      </w:r>
      <w:r w:rsidR="00C82A1C" w:rsidRPr="00926A24">
        <w:rPr>
          <w:rFonts w:ascii="Arial" w:hAnsi="Arial" w:cs="Arial"/>
          <w:sz w:val="24"/>
          <w:szCs w:val="24"/>
        </w:rPr>
        <w:t>2</w:t>
      </w:r>
      <w:r w:rsidR="000737C3">
        <w:rPr>
          <w:rFonts w:ascii="Arial" w:hAnsi="Arial" w:cs="Arial"/>
          <w:sz w:val="24"/>
          <w:szCs w:val="24"/>
        </w:rPr>
        <w:t>2,</w:t>
      </w:r>
      <w:r w:rsidR="00A065DA" w:rsidRPr="00926A24">
        <w:rPr>
          <w:rFonts w:ascii="Arial" w:hAnsi="Arial" w:cs="Arial"/>
          <w:sz w:val="24"/>
          <w:szCs w:val="24"/>
        </w:rPr>
        <w:t xml:space="preserve"> down 3</w:t>
      </w:r>
      <w:r w:rsidR="002C33B1" w:rsidRPr="00926A24">
        <w:rPr>
          <w:rFonts w:ascii="Arial" w:hAnsi="Arial" w:cs="Arial"/>
          <w:sz w:val="24"/>
          <w:szCs w:val="24"/>
        </w:rPr>
        <w:t>3</w:t>
      </w:r>
      <w:r w:rsidR="00A065DA" w:rsidRPr="00926A24">
        <w:rPr>
          <w:rFonts w:ascii="Arial" w:hAnsi="Arial" w:cs="Arial"/>
          <w:sz w:val="24"/>
          <w:szCs w:val="24"/>
        </w:rPr>
        <w:t>% from the 72 sales/month over the 3</w:t>
      </w:r>
      <w:r w:rsidR="00A065DA" w:rsidRPr="00926A24">
        <w:rPr>
          <w:rFonts w:ascii="Arial" w:hAnsi="Arial" w:cs="Arial"/>
          <w:sz w:val="24"/>
          <w:szCs w:val="24"/>
          <w:vertAlign w:val="superscript"/>
        </w:rPr>
        <w:t>rd</w:t>
      </w:r>
      <w:r w:rsidR="00A065DA" w:rsidRPr="00926A24">
        <w:rPr>
          <w:rFonts w:ascii="Arial" w:hAnsi="Arial" w:cs="Arial"/>
          <w:sz w:val="24"/>
          <w:szCs w:val="24"/>
        </w:rPr>
        <w:t xml:space="preserve"> quarter of 2021</w:t>
      </w:r>
      <w:r w:rsidR="00153FE9" w:rsidRPr="00926A24">
        <w:rPr>
          <w:rFonts w:ascii="Arial" w:hAnsi="Arial" w:cs="Arial"/>
          <w:sz w:val="24"/>
          <w:szCs w:val="24"/>
        </w:rPr>
        <w:t>.</w:t>
      </w:r>
      <w:r w:rsidR="008F6D05" w:rsidRPr="00926A24">
        <w:rPr>
          <w:rFonts w:ascii="Arial" w:hAnsi="Arial" w:cs="Arial"/>
          <w:sz w:val="24"/>
          <w:szCs w:val="24"/>
        </w:rPr>
        <w:t xml:space="preserve"> </w:t>
      </w:r>
    </w:p>
    <w:p w14:paraId="45E61D95" w14:textId="715F2217" w:rsidR="00C060C3" w:rsidRPr="00926A24" w:rsidRDefault="007E281A" w:rsidP="00B46C4D">
      <w:pPr>
        <w:rPr>
          <w:rFonts w:ascii="Arial" w:hAnsi="Arial" w:cs="Arial"/>
          <w:sz w:val="24"/>
          <w:szCs w:val="24"/>
        </w:rPr>
      </w:pPr>
      <w:r w:rsidRPr="00926A24">
        <w:rPr>
          <w:rFonts w:ascii="Arial" w:hAnsi="Arial" w:cs="Arial"/>
          <w:b/>
          <w:sz w:val="24"/>
          <w:szCs w:val="24"/>
        </w:rPr>
        <w:t xml:space="preserve">Outlook for </w:t>
      </w:r>
      <w:r w:rsidR="00E91AC7" w:rsidRPr="00926A24">
        <w:rPr>
          <w:rFonts w:ascii="Arial" w:hAnsi="Arial" w:cs="Arial"/>
          <w:b/>
          <w:sz w:val="24"/>
          <w:szCs w:val="24"/>
        </w:rPr>
        <w:t>the Sequim housing market</w:t>
      </w:r>
      <w:r w:rsidRPr="00926A24">
        <w:rPr>
          <w:rFonts w:ascii="Arial" w:hAnsi="Arial" w:cs="Arial"/>
          <w:b/>
          <w:sz w:val="24"/>
          <w:szCs w:val="24"/>
        </w:rPr>
        <w:t xml:space="preserve">: </w:t>
      </w:r>
      <w:r w:rsidR="00591393" w:rsidRPr="00926A24">
        <w:rPr>
          <w:rFonts w:ascii="Arial" w:hAnsi="Arial" w:cs="Arial"/>
          <w:sz w:val="24"/>
          <w:szCs w:val="24"/>
        </w:rPr>
        <w:t>Traditionally real estate markets go in six to eight year cycles so this last 10 year run up had to come to an end</w:t>
      </w:r>
      <w:r w:rsidR="00CB7FE3" w:rsidRPr="00926A24">
        <w:rPr>
          <w:rFonts w:ascii="Arial" w:hAnsi="Arial" w:cs="Arial"/>
          <w:sz w:val="24"/>
          <w:szCs w:val="24"/>
        </w:rPr>
        <w:t xml:space="preserve">. Raising interest rates by more than 100% over the past 10 months made sure of that. Our inventory has grown, sales have slowed and even prices have </w:t>
      </w:r>
      <w:r w:rsidR="00BE1DB1" w:rsidRPr="00926A24">
        <w:rPr>
          <w:rFonts w:ascii="Arial" w:hAnsi="Arial" w:cs="Arial"/>
          <w:sz w:val="24"/>
          <w:szCs w:val="24"/>
        </w:rPr>
        <w:t xml:space="preserve">begun to dip. </w:t>
      </w:r>
      <w:r w:rsidR="0013601F" w:rsidRPr="00926A24">
        <w:rPr>
          <w:rFonts w:ascii="Arial" w:hAnsi="Arial" w:cs="Arial"/>
          <w:sz w:val="24"/>
          <w:szCs w:val="24"/>
        </w:rPr>
        <w:t>However, w</w:t>
      </w:r>
      <w:r w:rsidR="00BE1DB1" w:rsidRPr="00926A24">
        <w:rPr>
          <w:rFonts w:ascii="Arial" w:hAnsi="Arial" w:cs="Arial"/>
          <w:sz w:val="24"/>
          <w:szCs w:val="24"/>
        </w:rPr>
        <w:t xml:space="preserve">hat’s hard to </w:t>
      </w:r>
      <w:r w:rsidR="002C33B1" w:rsidRPr="00926A24">
        <w:rPr>
          <w:rFonts w:ascii="Arial" w:hAnsi="Arial" w:cs="Arial"/>
          <w:sz w:val="24"/>
          <w:szCs w:val="24"/>
        </w:rPr>
        <w:t>wrap your head around</w:t>
      </w:r>
      <w:r w:rsidR="00BE1DB1" w:rsidRPr="00926A24">
        <w:rPr>
          <w:rFonts w:ascii="Arial" w:hAnsi="Arial" w:cs="Arial"/>
          <w:sz w:val="24"/>
          <w:szCs w:val="24"/>
        </w:rPr>
        <w:t xml:space="preserve"> is how will the woeful lack of building and development over the past 14 years factor into </w:t>
      </w:r>
      <w:r w:rsidR="002C33B1" w:rsidRPr="00926A24">
        <w:rPr>
          <w:rFonts w:ascii="Arial" w:hAnsi="Arial" w:cs="Arial"/>
          <w:sz w:val="24"/>
          <w:szCs w:val="24"/>
        </w:rPr>
        <w:t xml:space="preserve">home </w:t>
      </w:r>
      <w:r w:rsidR="00BE1DB1" w:rsidRPr="00926A24">
        <w:rPr>
          <w:rFonts w:ascii="Arial" w:hAnsi="Arial" w:cs="Arial"/>
          <w:sz w:val="24"/>
          <w:szCs w:val="24"/>
        </w:rPr>
        <w:t xml:space="preserve">values over the next few years. As Gregg Colburn from the UW wrote in his book, </w:t>
      </w:r>
      <w:r w:rsidR="00BE1DB1" w:rsidRPr="00926A24">
        <w:rPr>
          <w:rFonts w:ascii="Arial" w:hAnsi="Arial" w:cs="Arial"/>
          <w:i/>
          <w:iCs/>
          <w:sz w:val="24"/>
          <w:szCs w:val="24"/>
        </w:rPr>
        <w:t xml:space="preserve">Homelessness is a Housing Problem, </w:t>
      </w:r>
      <w:r w:rsidR="00BE1DB1" w:rsidRPr="00926A24">
        <w:rPr>
          <w:rFonts w:ascii="Arial" w:hAnsi="Arial" w:cs="Arial"/>
          <w:sz w:val="24"/>
          <w:szCs w:val="24"/>
        </w:rPr>
        <w:t xml:space="preserve">the US </w:t>
      </w:r>
      <w:r w:rsidR="0013601F" w:rsidRPr="00926A24">
        <w:rPr>
          <w:rFonts w:ascii="Arial" w:hAnsi="Arial" w:cs="Arial"/>
          <w:sz w:val="24"/>
          <w:szCs w:val="24"/>
        </w:rPr>
        <w:t>has built</w:t>
      </w:r>
      <w:r w:rsidR="00BE1DB1" w:rsidRPr="00926A24">
        <w:rPr>
          <w:rFonts w:ascii="Arial" w:hAnsi="Arial" w:cs="Arial"/>
          <w:sz w:val="24"/>
          <w:szCs w:val="24"/>
        </w:rPr>
        <w:t xml:space="preserve"> about 7 million housing units </w:t>
      </w:r>
      <w:r w:rsidR="0013601F" w:rsidRPr="00226B0E">
        <w:rPr>
          <w:rFonts w:ascii="Arial" w:hAnsi="Arial" w:cs="Arial"/>
          <w:sz w:val="24"/>
          <w:szCs w:val="24"/>
          <w:u w:val="single"/>
        </w:rPr>
        <w:t>under</w:t>
      </w:r>
      <w:r w:rsidR="00BE1DB1" w:rsidRPr="00926A24">
        <w:rPr>
          <w:rFonts w:ascii="Arial" w:hAnsi="Arial" w:cs="Arial"/>
          <w:sz w:val="24"/>
          <w:szCs w:val="24"/>
        </w:rPr>
        <w:t xml:space="preserve"> what </w:t>
      </w:r>
      <w:r w:rsidR="0013601F" w:rsidRPr="00926A24">
        <w:rPr>
          <w:rFonts w:ascii="Arial" w:hAnsi="Arial" w:cs="Arial"/>
          <w:sz w:val="24"/>
          <w:szCs w:val="24"/>
        </w:rPr>
        <w:t>has actually</w:t>
      </w:r>
      <w:r w:rsidR="00BE1DB1" w:rsidRPr="00926A24">
        <w:rPr>
          <w:rFonts w:ascii="Arial" w:hAnsi="Arial" w:cs="Arial"/>
          <w:sz w:val="24"/>
          <w:szCs w:val="24"/>
        </w:rPr>
        <w:t xml:space="preserve"> </w:t>
      </w:r>
      <w:r w:rsidR="0013601F" w:rsidRPr="00926A24">
        <w:rPr>
          <w:rFonts w:ascii="Arial" w:hAnsi="Arial" w:cs="Arial"/>
          <w:sz w:val="24"/>
          <w:szCs w:val="24"/>
        </w:rPr>
        <w:t xml:space="preserve">been </w:t>
      </w:r>
      <w:r w:rsidR="00BE1DB1" w:rsidRPr="00926A24">
        <w:rPr>
          <w:rFonts w:ascii="Arial" w:hAnsi="Arial" w:cs="Arial"/>
          <w:sz w:val="24"/>
          <w:szCs w:val="24"/>
        </w:rPr>
        <w:t>needed</w:t>
      </w:r>
      <w:r w:rsidR="0013601F" w:rsidRPr="00926A24">
        <w:rPr>
          <w:rFonts w:ascii="Arial" w:hAnsi="Arial" w:cs="Arial"/>
          <w:sz w:val="24"/>
          <w:szCs w:val="24"/>
        </w:rPr>
        <w:t xml:space="preserve"> since 2008</w:t>
      </w:r>
      <w:r w:rsidR="00BE1DB1" w:rsidRPr="00926A24">
        <w:rPr>
          <w:rFonts w:ascii="Arial" w:hAnsi="Arial" w:cs="Arial"/>
          <w:sz w:val="24"/>
          <w:szCs w:val="24"/>
        </w:rPr>
        <w:t xml:space="preserve">. </w:t>
      </w:r>
      <w:r w:rsidR="0013601F" w:rsidRPr="00926A24">
        <w:rPr>
          <w:rFonts w:ascii="Arial" w:hAnsi="Arial" w:cs="Arial"/>
          <w:sz w:val="24"/>
          <w:szCs w:val="24"/>
        </w:rPr>
        <w:t xml:space="preserve">Affordability has obviously been a problem but how can values plumet when the supply isn’t meeting the demand? Even our increasing inventory here in Sequim is still historically very low. As I’ve stated in previous reports, whatever this downturn ends up looking like, it is very unlikely that it will look anything like 2008 – 2012. Lenders have been very strict in who has </w:t>
      </w:r>
      <w:r w:rsidR="00041FD2" w:rsidRPr="00926A24">
        <w:rPr>
          <w:rFonts w:ascii="Arial" w:hAnsi="Arial" w:cs="Arial"/>
          <w:sz w:val="24"/>
          <w:szCs w:val="24"/>
        </w:rPr>
        <w:t>been</w:t>
      </w:r>
      <w:r w:rsidR="0013601F" w:rsidRPr="00926A24">
        <w:rPr>
          <w:rFonts w:ascii="Arial" w:hAnsi="Arial" w:cs="Arial"/>
          <w:sz w:val="24"/>
          <w:szCs w:val="24"/>
        </w:rPr>
        <w:t xml:space="preserve"> approved for a loan over the past 12 years which was not the case in the “house of cards” run-up to our 2008 crash.  </w:t>
      </w:r>
      <w:r w:rsidR="00897259" w:rsidRPr="00926A24">
        <w:rPr>
          <w:rFonts w:ascii="Arial" w:hAnsi="Arial" w:cs="Arial"/>
          <w:sz w:val="24"/>
          <w:szCs w:val="24"/>
        </w:rPr>
        <w:t xml:space="preserve">Housing is still a basic necessity and Sequim is </w:t>
      </w:r>
      <w:r w:rsidR="002C33B1" w:rsidRPr="00926A24">
        <w:rPr>
          <w:rFonts w:ascii="Arial" w:hAnsi="Arial" w:cs="Arial"/>
          <w:sz w:val="24"/>
          <w:szCs w:val="24"/>
        </w:rPr>
        <w:t>an incredibly desirable place</w:t>
      </w:r>
      <w:r w:rsidR="00897259" w:rsidRPr="00926A24">
        <w:rPr>
          <w:rFonts w:ascii="Arial" w:hAnsi="Arial" w:cs="Arial"/>
          <w:sz w:val="24"/>
          <w:szCs w:val="24"/>
        </w:rPr>
        <w:t xml:space="preserve"> to live. We’ll have to see what the next few months </w:t>
      </w:r>
      <w:r w:rsidR="0024378C" w:rsidRPr="00926A24">
        <w:rPr>
          <w:rFonts w:ascii="Arial" w:hAnsi="Arial" w:cs="Arial"/>
          <w:sz w:val="24"/>
          <w:szCs w:val="24"/>
        </w:rPr>
        <w:t>bring,</w:t>
      </w:r>
      <w:r w:rsidR="00897259" w:rsidRPr="00926A24">
        <w:rPr>
          <w:rFonts w:ascii="Arial" w:hAnsi="Arial" w:cs="Arial"/>
          <w:sz w:val="24"/>
          <w:szCs w:val="24"/>
        </w:rPr>
        <w:t xml:space="preserve"> and I’ll report back at year’s end. </w:t>
      </w:r>
    </w:p>
    <w:p w14:paraId="24A5FC7A" w14:textId="0ED3A4DF" w:rsidR="005A6C4D" w:rsidRDefault="005A6C4D" w:rsidP="00774F49">
      <w:pPr>
        <w:jc w:val="center"/>
        <w:rPr>
          <w:sz w:val="24"/>
          <w:szCs w:val="24"/>
        </w:rPr>
      </w:pPr>
    </w:p>
    <w:p w14:paraId="21071CB1" w14:textId="0D8B43D4" w:rsidR="00310D8A" w:rsidRPr="00A3298F" w:rsidRDefault="00310D8A" w:rsidP="00310D8A">
      <w:pPr>
        <w:rPr>
          <w:b/>
          <w:sz w:val="20"/>
          <w:szCs w:val="20"/>
        </w:rPr>
      </w:pPr>
    </w:p>
    <w:p w14:paraId="4F662342" w14:textId="42ED3CA8" w:rsidR="00914D90" w:rsidRPr="00A42C96" w:rsidRDefault="00914D90" w:rsidP="00914D90">
      <w:pPr>
        <w:jc w:val="center"/>
        <w:rPr>
          <w:b/>
          <w:bCs/>
          <w:noProof/>
          <w:sz w:val="44"/>
          <w:szCs w:val="44"/>
        </w:rPr>
      </w:pPr>
      <w:r w:rsidRPr="00A42C96">
        <w:rPr>
          <w:b/>
          <w:sz w:val="44"/>
          <w:szCs w:val="44"/>
        </w:rPr>
        <w:lastRenderedPageBreak/>
        <w:t>Sequim Land Report</w:t>
      </w:r>
      <w:r w:rsidRPr="00A42C96">
        <w:rPr>
          <w:b/>
          <w:bCs/>
          <w:noProof/>
          <w:sz w:val="44"/>
          <w:szCs w:val="44"/>
        </w:rPr>
        <w:t xml:space="preserve"> </w:t>
      </w:r>
    </w:p>
    <w:p w14:paraId="223CE335" w14:textId="25BBDA7C" w:rsidR="001548D7" w:rsidRDefault="007E0335" w:rsidP="00914D90">
      <w:pPr>
        <w:jc w:val="center"/>
        <w:rPr>
          <w:b/>
          <w:bCs/>
          <w:noProof/>
        </w:rPr>
      </w:pPr>
      <w:r>
        <w:rPr>
          <w:noProof/>
        </w:rPr>
        <w:drawing>
          <wp:inline distT="0" distB="0" distL="0" distR="0" wp14:anchorId="32B98BFC" wp14:editId="59BE0961">
            <wp:extent cx="6858000" cy="4982210"/>
            <wp:effectExtent l="0" t="0" r="0" b="8890"/>
            <wp:docPr id="1" name="Chart 1">
              <a:extLst xmlns:a="http://schemas.openxmlformats.org/drawingml/2006/main">
                <a:ext uri="{FF2B5EF4-FFF2-40B4-BE49-F238E27FC236}">
                  <a16:creationId xmlns:a16="http://schemas.microsoft.com/office/drawing/2014/main" id="{00000000-0008-0000-2A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532088D" w14:textId="08DEE271" w:rsidR="00C35979" w:rsidRPr="00926A24" w:rsidRDefault="0025230D" w:rsidP="0017553B">
      <w:pPr>
        <w:rPr>
          <w:rFonts w:ascii="Arial" w:hAnsi="Arial" w:cs="Arial"/>
          <w:sz w:val="24"/>
          <w:szCs w:val="24"/>
        </w:rPr>
      </w:pPr>
      <w:r w:rsidRPr="00926A24">
        <w:rPr>
          <w:rFonts w:ascii="Arial" w:hAnsi="Arial" w:cs="Arial"/>
          <w:b/>
          <w:sz w:val="24"/>
          <w:szCs w:val="24"/>
        </w:rPr>
        <w:t xml:space="preserve">Median </w:t>
      </w:r>
      <w:r w:rsidR="00844847" w:rsidRPr="00926A24">
        <w:rPr>
          <w:rFonts w:ascii="Arial" w:hAnsi="Arial" w:cs="Arial"/>
          <w:b/>
          <w:sz w:val="24"/>
          <w:szCs w:val="24"/>
        </w:rPr>
        <w:t xml:space="preserve">Land </w:t>
      </w:r>
      <w:r w:rsidRPr="00926A24">
        <w:rPr>
          <w:rFonts w:ascii="Arial" w:hAnsi="Arial" w:cs="Arial"/>
          <w:b/>
          <w:sz w:val="24"/>
          <w:szCs w:val="24"/>
        </w:rPr>
        <w:t>Sales Price:</w:t>
      </w:r>
      <w:r w:rsidRPr="00926A24">
        <w:rPr>
          <w:rFonts w:ascii="Arial" w:hAnsi="Arial" w:cs="Arial"/>
          <w:sz w:val="24"/>
          <w:szCs w:val="24"/>
        </w:rPr>
        <w:t xml:space="preserve"> The median price for land </w:t>
      </w:r>
      <w:r w:rsidR="005A6C4D" w:rsidRPr="00926A24">
        <w:rPr>
          <w:rFonts w:ascii="Arial" w:hAnsi="Arial" w:cs="Arial"/>
          <w:sz w:val="24"/>
          <w:szCs w:val="24"/>
        </w:rPr>
        <w:t>stayed relatively high at $1</w:t>
      </w:r>
      <w:r w:rsidR="002C33B1" w:rsidRPr="00926A24">
        <w:rPr>
          <w:rFonts w:ascii="Arial" w:hAnsi="Arial" w:cs="Arial"/>
          <w:sz w:val="24"/>
          <w:szCs w:val="24"/>
        </w:rPr>
        <w:t>5</w:t>
      </w:r>
      <w:r w:rsidR="00133DBA" w:rsidRPr="00926A24">
        <w:rPr>
          <w:rFonts w:ascii="Arial" w:hAnsi="Arial" w:cs="Arial"/>
          <w:sz w:val="24"/>
          <w:szCs w:val="24"/>
        </w:rPr>
        <w:t>3</w:t>
      </w:r>
      <w:r w:rsidR="005A6C4D" w:rsidRPr="00926A24">
        <w:rPr>
          <w:rFonts w:ascii="Arial" w:hAnsi="Arial" w:cs="Arial"/>
          <w:sz w:val="24"/>
          <w:szCs w:val="24"/>
        </w:rPr>
        <w:t>K</w:t>
      </w:r>
      <w:r w:rsidR="0083660B" w:rsidRPr="00926A24">
        <w:rPr>
          <w:rFonts w:ascii="Arial" w:hAnsi="Arial" w:cs="Arial"/>
          <w:sz w:val="24"/>
          <w:szCs w:val="24"/>
        </w:rPr>
        <w:t xml:space="preserve"> and the median asking price for those sales was $1</w:t>
      </w:r>
      <w:r w:rsidR="00133DBA" w:rsidRPr="00926A24">
        <w:rPr>
          <w:rFonts w:ascii="Arial" w:hAnsi="Arial" w:cs="Arial"/>
          <w:sz w:val="24"/>
          <w:szCs w:val="24"/>
        </w:rPr>
        <w:t>60</w:t>
      </w:r>
      <w:r w:rsidR="0083660B" w:rsidRPr="00926A24">
        <w:rPr>
          <w:rFonts w:ascii="Arial" w:hAnsi="Arial" w:cs="Arial"/>
          <w:sz w:val="24"/>
          <w:szCs w:val="24"/>
        </w:rPr>
        <w:t>K</w:t>
      </w:r>
      <w:r w:rsidRPr="00926A24">
        <w:rPr>
          <w:rFonts w:ascii="Arial" w:hAnsi="Arial" w:cs="Arial"/>
          <w:sz w:val="24"/>
          <w:szCs w:val="24"/>
        </w:rPr>
        <w:t xml:space="preserve">.  </w:t>
      </w:r>
      <w:r w:rsidR="0083660B" w:rsidRPr="00926A24">
        <w:rPr>
          <w:rFonts w:ascii="Arial" w:hAnsi="Arial" w:cs="Arial"/>
          <w:sz w:val="24"/>
          <w:szCs w:val="24"/>
        </w:rPr>
        <w:t>The median size of those sold parcels was 1.</w:t>
      </w:r>
      <w:r w:rsidR="00F84F8A" w:rsidRPr="00926A24">
        <w:rPr>
          <w:rFonts w:ascii="Arial" w:hAnsi="Arial" w:cs="Arial"/>
          <w:sz w:val="24"/>
          <w:szCs w:val="24"/>
        </w:rPr>
        <w:t>5</w:t>
      </w:r>
      <w:r w:rsidR="0083660B" w:rsidRPr="00926A24">
        <w:rPr>
          <w:rFonts w:ascii="Arial" w:hAnsi="Arial" w:cs="Arial"/>
          <w:sz w:val="24"/>
          <w:szCs w:val="24"/>
        </w:rPr>
        <w:t xml:space="preserve"> acres and the median days on market was </w:t>
      </w:r>
      <w:r w:rsidR="00F84F8A" w:rsidRPr="00926A24">
        <w:rPr>
          <w:rFonts w:ascii="Arial" w:hAnsi="Arial" w:cs="Arial"/>
          <w:sz w:val="24"/>
          <w:szCs w:val="24"/>
        </w:rPr>
        <w:t>only 6</w:t>
      </w:r>
      <w:r w:rsidR="0083660B" w:rsidRPr="00926A24">
        <w:rPr>
          <w:rFonts w:ascii="Arial" w:hAnsi="Arial" w:cs="Arial"/>
          <w:sz w:val="24"/>
          <w:szCs w:val="24"/>
        </w:rPr>
        <w:t xml:space="preserve"> days.</w:t>
      </w:r>
    </w:p>
    <w:p w14:paraId="0231B84C" w14:textId="4F9DB158" w:rsidR="00C35979" w:rsidRPr="00926A24" w:rsidRDefault="00F84F8A" w:rsidP="0017553B">
      <w:pPr>
        <w:rPr>
          <w:rFonts w:ascii="Arial" w:hAnsi="Arial" w:cs="Arial"/>
          <w:sz w:val="24"/>
          <w:szCs w:val="24"/>
        </w:rPr>
      </w:pPr>
      <w:r w:rsidRPr="00926A24">
        <w:rPr>
          <w:rFonts w:ascii="Arial" w:hAnsi="Arial" w:cs="Arial"/>
          <w:sz w:val="24"/>
          <w:szCs w:val="24"/>
        </w:rPr>
        <w:t>Eight</w:t>
      </w:r>
      <w:r w:rsidR="00A77259" w:rsidRPr="00926A24">
        <w:rPr>
          <w:rFonts w:ascii="Arial" w:hAnsi="Arial" w:cs="Arial"/>
          <w:sz w:val="24"/>
          <w:szCs w:val="24"/>
        </w:rPr>
        <w:t xml:space="preserve"> of the </w:t>
      </w:r>
      <w:r w:rsidRPr="00926A24">
        <w:rPr>
          <w:rFonts w:ascii="Arial" w:hAnsi="Arial" w:cs="Arial"/>
          <w:sz w:val="24"/>
          <w:szCs w:val="24"/>
        </w:rPr>
        <w:t>35</w:t>
      </w:r>
      <w:r w:rsidR="00A77259" w:rsidRPr="00926A24">
        <w:rPr>
          <w:rFonts w:ascii="Arial" w:hAnsi="Arial" w:cs="Arial"/>
          <w:sz w:val="24"/>
          <w:szCs w:val="24"/>
        </w:rPr>
        <w:t xml:space="preserve"> land sales were in the Sequim City limits with the other </w:t>
      </w:r>
      <w:r w:rsidRPr="00926A24">
        <w:rPr>
          <w:rFonts w:ascii="Arial" w:hAnsi="Arial" w:cs="Arial"/>
          <w:sz w:val="24"/>
          <w:szCs w:val="24"/>
        </w:rPr>
        <w:t>27</w:t>
      </w:r>
      <w:r w:rsidR="00A77259" w:rsidRPr="00926A24">
        <w:rPr>
          <w:rFonts w:ascii="Arial" w:hAnsi="Arial" w:cs="Arial"/>
          <w:sz w:val="24"/>
          <w:szCs w:val="24"/>
        </w:rPr>
        <w:t xml:space="preserve"> sales being out in the county lands of unincorporated Sequim. </w:t>
      </w:r>
    </w:p>
    <w:p w14:paraId="2D2F36FD" w14:textId="08A4EB5B" w:rsidR="0025230D" w:rsidRPr="00926A24" w:rsidRDefault="00A77259" w:rsidP="0017553B">
      <w:pPr>
        <w:rPr>
          <w:rFonts w:ascii="Arial" w:hAnsi="Arial" w:cs="Arial"/>
          <w:sz w:val="24"/>
          <w:szCs w:val="24"/>
        </w:rPr>
      </w:pPr>
      <w:r w:rsidRPr="00926A24">
        <w:rPr>
          <w:rFonts w:ascii="Arial" w:hAnsi="Arial" w:cs="Arial"/>
          <w:sz w:val="24"/>
          <w:szCs w:val="24"/>
        </w:rPr>
        <w:t>Building costs remain high</w:t>
      </w:r>
      <w:r w:rsidR="00F84F8A" w:rsidRPr="00926A24">
        <w:rPr>
          <w:rFonts w:ascii="Arial" w:hAnsi="Arial" w:cs="Arial"/>
          <w:sz w:val="24"/>
          <w:szCs w:val="24"/>
        </w:rPr>
        <w:t xml:space="preserve"> but established </w:t>
      </w:r>
      <w:r w:rsidR="00B90B37" w:rsidRPr="00926A24">
        <w:rPr>
          <w:rFonts w:ascii="Arial" w:hAnsi="Arial" w:cs="Arial"/>
          <w:sz w:val="24"/>
          <w:szCs w:val="24"/>
        </w:rPr>
        <w:t xml:space="preserve">local </w:t>
      </w:r>
      <w:r w:rsidR="00F84F8A" w:rsidRPr="00926A24">
        <w:rPr>
          <w:rFonts w:ascii="Arial" w:hAnsi="Arial" w:cs="Arial"/>
          <w:sz w:val="24"/>
          <w:szCs w:val="24"/>
        </w:rPr>
        <w:t xml:space="preserve">builders are still busy </w:t>
      </w:r>
      <w:r w:rsidR="00B90B37" w:rsidRPr="00926A24">
        <w:rPr>
          <w:rFonts w:ascii="Arial" w:hAnsi="Arial" w:cs="Arial"/>
          <w:sz w:val="24"/>
          <w:szCs w:val="24"/>
        </w:rPr>
        <w:t>as they have been</w:t>
      </w:r>
      <w:r w:rsidR="00F84F8A" w:rsidRPr="00926A24">
        <w:rPr>
          <w:rFonts w:ascii="Arial" w:hAnsi="Arial" w:cs="Arial"/>
          <w:sz w:val="24"/>
          <w:szCs w:val="24"/>
        </w:rPr>
        <w:t xml:space="preserve">. The Washington State Building Code Council is poised to make changes to </w:t>
      </w:r>
      <w:r w:rsidR="00B90B37" w:rsidRPr="00926A24">
        <w:rPr>
          <w:rFonts w:ascii="Arial" w:hAnsi="Arial" w:cs="Arial"/>
          <w:sz w:val="24"/>
          <w:szCs w:val="24"/>
        </w:rPr>
        <w:t xml:space="preserve">state </w:t>
      </w:r>
      <w:r w:rsidR="00F84F8A" w:rsidRPr="00926A24">
        <w:rPr>
          <w:rFonts w:ascii="Arial" w:hAnsi="Arial" w:cs="Arial"/>
          <w:sz w:val="24"/>
          <w:szCs w:val="24"/>
        </w:rPr>
        <w:t xml:space="preserve">energy code requirements which would add an additional $24K to the cost of building a 2200 sf home.  Realtors </w:t>
      </w:r>
      <w:r w:rsidR="00B90B37" w:rsidRPr="00926A24">
        <w:rPr>
          <w:rFonts w:ascii="Arial" w:hAnsi="Arial" w:cs="Arial"/>
          <w:sz w:val="24"/>
          <w:szCs w:val="24"/>
        </w:rPr>
        <w:t xml:space="preserve">and builders </w:t>
      </w:r>
      <w:r w:rsidR="00F84F8A" w:rsidRPr="00926A24">
        <w:rPr>
          <w:rFonts w:ascii="Arial" w:hAnsi="Arial" w:cs="Arial"/>
          <w:sz w:val="24"/>
          <w:szCs w:val="24"/>
        </w:rPr>
        <w:t xml:space="preserve">have stated our concern </w:t>
      </w:r>
      <w:r w:rsidR="00B90B37" w:rsidRPr="00926A24">
        <w:rPr>
          <w:rFonts w:ascii="Arial" w:hAnsi="Arial" w:cs="Arial"/>
          <w:sz w:val="24"/>
          <w:szCs w:val="24"/>
        </w:rPr>
        <w:t xml:space="preserve">with this proposal </w:t>
      </w:r>
      <w:r w:rsidR="00133DBA" w:rsidRPr="00926A24">
        <w:rPr>
          <w:rFonts w:ascii="Arial" w:hAnsi="Arial" w:cs="Arial"/>
          <w:sz w:val="24"/>
          <w:szCs w:val="24"/>
        </w:rPr>
        <w:t xml:space="preserve">as we believe the negative impact to affordability outweighs the benefits </w:t>
      </w:r>
      <w:r w:rsidR="00F84F8A" w:rsidRPr="00926A24">
        <w:rPr>
          <w:rFonts w:ascii="Arial" w:hAnsi="Arial" w:cs="Arial"/>
          <w:sz w:val="24"/>
          <w:szCs w:val="24"/>
        </w:rPr>
        <w:t xml:space="preserve">but we’ll have to wait and see what’s decided. </w:t>
      </w:r>
    </w:p>
    <w:p w14:paraId="233A80CB" w14:textId="350C4178" w:rsidR="00A3298F" w:rsidRDefault="00A3298F" w:rsidP="00310D8A">
      <w:pPr>
        <w:rPr>
          <w:b/>
          <w:sz w:val="20"/>
          <w:szCs w:val="20"/>
        </w:rPr>
      </w:pPr>
    </w:p>
    <w:p w14:paraId="32385583" w14:textId="77777777" w:rsidR="00844847" w:rsidRDefault="00844847" w:rsidP="00310D8A">
      <w:pPr>
        <w:rPr>
          <w:b/>
          <w:sz w:val="20"/>
          <w:szCs w:val="20"/>
        </w:rPr>
      </w:pPr>
    </w:p>
    <w:p w14:paraId="79DCB951" w14:textId="7DF73787" w:rsidR="00917118" w:rsidRDefault="00A3298F" w:rsidP="00311085">
      <w:pPr>
        <w:rPr>
          <w:noProof/>
          <w:sz w:val="24"/>
          <w:szCs w:val="24"/>
        </w:rPr>
      </w:pPr>
      <w:r>
        <w:rPr>
          <w:b/>
          <w:sz w:val="20"/>
          <w:szCs w:val="20"/>
        </w:rPr>
        <w:br w:type="page"/>
      </w:r>
    </w:p>
    <w:p w14:paraId="44F5E00C" w14:textId="565D9BCA" w:rsidR="00926A24" w:rsidRDefault="00AD2327" w:rsidP="00917118">
      <w:pPr>
        <w:rPr>
          <w:rFonts w:ascii="Arial" w:hAnsi="Arial" w:cs="Arial"/>
          <w:b/>
          <w:bCs/>
          <w:sz w:val="24"/>
          <w:szCs w:val="24"/>
        </w:rPr>
      </w:pPr>
      <w:r>
        <w:rPr>
          <w:noProof/>
        </w:rPr>
        <w:lastRenderedPageBreak/>
        <w:drawing>
          <wp:inline distT="0" distB="0" distL="0" distR="0" wp14:anchorId="602E76E9" wp14:editId="410414C1">
            <wp:extent cx="6858000" cy="4921885"/>
            <wp:effectExtent l="0" t="0" r="0" b="12065"/>
            <wp:docPr id="13" name="Chart 13">
              <a:extLst xmlns:a="http://schemas.openxmlformats.org/drawingml/2006/main">
                <a:ext uri="{FF2B5EF4-FFF2-40B4-BE49-F238E27FC236}">
                  <a16:creationId xmlns:a16="http://schemas.microsoft.com/office/drawing/2014/main" id="{00000000-0008-0000-2D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310F6693" w14:textId="00B8345D" w:rsidR="00917118" w:rsidRPr="00926A24" w:rsidRDefault="00917118" w:rsidP="00917118">
      <w:pPr>
        <w:rPr>
          <w:rFonts w:ascii="Arial" w:hAnsi="Arial" w:cs="Arial"/>
          <w:noProof/>
          <w:sz w:val="24"/>
          <w:szCs w:val="24"/>
        </w:rPr>
      </w:pPr>
      <w:r w:rsidRPr="00926A24">
        <w:rPr>
          <w:rFonts w:ascii="Arial" w:hAnsi="Arial" w:cs="Arial"/>
          <w:b/>
          <w:bCs/>
          <w:sz w:val="24"/>
          <w:szCs w:val="24"/>
        </w:rPr>
        <w:t xml:space="preserve">Land Sales Volume: </w:t>
      </w:r>
      <w:r w:rsidRPr="00926A24">
        <w:rPr>
          <w:rFonts w:ascii="Arial" w:hAnsi="Arial" w:cs="Arial"/>
          <w:sz w:val="24"/>
          <w:szCs w:val="24"/>
        </w:rPr>
        <w:t xml:space="preserve">There were </w:t>
      </w:r>
      <w:r w:rsidR="00B90B37" w:rsidRPr="00926A24">
        <w:rPr>
          <w:rFonts w:ascii="Arial" w:hAnsi="Arial" w:cs="Arial"/>
          <w:sz w:val="24"/>
          <w:szCs w:val="24"/>
        </w:rPr>
        <w:t>35</w:t>
      </w:r>
      <w:r w:rsidRPr="00926A24">
        <w:rPr>
          <w:rFonts w:ascii="Arial" w:hAnsi="Arial" w:cs="Arial"/>
          <w:sz w:val="24"/>
          <w:szCs w:val="24"/>
        </w:rPr>
        <w:t xml:space="preserve"> land sales over the 3</w:t>
      </w:r>
      <w:r w:rsidRPr="00926A24">
        <w:rPr>
          <w:rFonts w:ascii="Arial" w:hAnsi="Arial" w:cs="Arial"/>
          <w:sz w:val="24"/>
          <w:szCs w:val="24"/>
          <w:vertAlign w:val="superscript"/>
        </w:rPr>
        <w:t>rd</w:t>
      </w:r>
      <w:r w:rsidRPr="00926A24">
        <w:rPr>
          <w:rFonts w:ascii="Arial" w:hAnsi="Arial" w:cs="Arial"/>
          <w:sz w:val="24"/>
          <w:szCs w:val="24"/>
        </w:rPr>
        <w:t xml:space="preserve"> quarter</w:t>
      </w:r>
      <w:r w:rsidR="002A6058" w:rsidRPr="00926A24">
        <w:rPr>
          <w:rFonts w:ascii="Arial" w:hAnsi="Arial" w:cs="Arial"/>
          <w:sz w:val="24"/>
          <w:szCs w:val="24"/>
        </w:rPr>
        <w:t xml:space="preserve"> of 202</w:t>
      </w:r>
      <w:r w:rsidR="00B90B37" w:rsidRPr="00926A24">
        <w:rPr>
          <w:rFonts w:ascii="Arial" w:hAnsi="Arial" w:cs="Arial"/>
          <w:sz w:val="24"/>
          <w:szCs w:val="24"/>
        </w:rPr>
        <w:t>2</w:t>
      </w:r>
      <w:r w:rsidRPr="00926A24">
        <w:rPr>
          <w:rFonts w:ascii="Arial" w:hAnsi="Arial" w:cs="Arial"/>
          <w:sz w:val="24"/>
          <w:szCs w:val="24"/>
        </w:rPr>
        <w:t xml:space="preserve"> </w:t>
      </w:r>
      <w:r w:rsidR="008810D8" w:rsidRPr="00926A24">
        <w:rPr>
          <w:rFonts w:ascii="Arial" w:hAnsi="Arial" w:cs="Arial"/>
          <w:sz w:val="24"/>
          <w:szCs w:val="24"/>
        </w:rPr>
        <w:t xml:space="preserve">– </w:t>
      </w:r>
      <w:r w:rsidR="002A6058" w:rsidRPr="00926A24">
        <w:rPr>
          <w:rFonts w:ascii="Arial" w:hAnsi="Arial" w:cs="Arial"/>
          <w:sz w:val="24"/>
          <w:szCs w:val="24"/>
        </w:rPr>
        <w:t>a 3</w:t>
      </w:r>
      <w:r w:rsidR="00B90B37" w:rsidRPr="00926A24">
        <w:rPr>
          <w:rFonts w:ascii="Arial" w:hAnsi="Arial" w:cs="Arial"/>
          <w:sz w:val="24"/>
          <w:szCs w:val="24"/>
        </w:rPr>
        <w:t>1</w:t>
      </w:r>
      <w:r w:rsidR="002A6058" w:rsidRPr="00926A24">
        <w:rPr>
          <w:rFonts w:ascii="Arial" w:hAnsi="Arial" w:cs="Arial"/>
          <w:sz w:val="24"/>
          <w:szCs w:val="24"/>
        </w:rPr>
        <w:t>% decrease from</w:t>
      </w:r>
      <w:r w:rsidR="00A77259" w:rsidRPr="00926A24">
        <w:rPr>
          <w:rFonts w:ascii="Arial" w:hAnsi="Arial" w:cs="Arial"/>
          <w:sz w:val="24"/>
          <w:szCs w:val="24"/>
        </w:rPr>
        <w:t xml:space="preserve"> the </w:t>
      </w:r>
      <w:r w:rsidR="00B90B37" w:rsidRPr="00926A24">
        <w:rPr>
          <w:rFonts w:ascii="Arial" w:hAnsi="Arial" w:cs="Arial"/>
          <w:sz w:val="24"/>
          <w:szCs w:val="24"/>
        </w:rPr>
        <w:t>51</w:t>
      </w:r>
      <w:r w:rsidR="00A77259" w:rsidRPr="00926A24">
        <w:rPr>
          <w:rFonts w:ascii="Arial" w:hAnsi="Arial" w:cs="Arial"/>
          <w:sz w:val="24"/>
          <w:szCs w:val="24"/>
        </w:rPr>
        <w:t xml:space="preserve"> sale</w:t>
      </w:r>
      <w:r w:rsidR="002A6058" w:rsidRPr="00926A24">
        <w:rPr>
          <w:rFonts w:ascii="Arial" w:hAnsi="Arial" w:cs="Arial"/>
          <w:sz w:val="24"/>
          <w:szCs w:val="24"/>
        </w:rPr>
        <w:t>s</w:t>
      </w:r>
      <w:r w:rsidR="00A77259" w:rsidRPr="00926A24">
        <w:rPr>
          <w:rFonts w:ascii="Arial" w:hAnsi="Arial" w:cs="Arial"/>
          <w:sz w:val="24"/>
          <w:szCs w:val="24"/>
        </w:rPr>
        <w:t xml:space="preserve"> over the 3</w:t>
      </w:r>
      <w:r w:rsidR="00A77259" w:rsidRPr="00926A24">
        <w:rPr>
          <w:rFonts w:ascii="Arial" w:hAnsi="Arial" w:cs="Arial"/>
          <w:sz w:val="24"/>
          <w:szCs w:val="24"/>
          <w:vertAlign w:val="superscript"/>
        </w:rPr>
        <w:t>rd</w:t>
      </w:r>
      <w:r w:rsidR="00A77259" w:rsidRPr="00926A24">
        <w:rPr>
          <w:rFonts w:ascii="Arial" w:hAnsi="Arial" w:cs="Arial"/>
          <w:sz w:val="24"/>
          <w:szCs w:val="24"/>
        </w:rPr>
        <w:t xml:space="preserve"> quarter of 202</w:t>
      </w:r>
      <w:r w:rsidR="00B90B37" w:rsidRPr="00926A24">
        <w:rPr>
          <w:rFonts w:ascii="Arial" w:hAnsi="Arial" w:cs="Arial"/>
          <w:sz w:val="24"/>
          <w:szCs w:val="24"/>
        </w:rPr>
        <w:t>1</w:t>
      </w:r>
      <w:r w:rsidR="002A6058" w:rsidRPr="00926A24">
        <w:rPr>
          <w:rFonts w:ascii="Arial" w:hAnsi="Arial" w:cs="Arial"/>
          <w:sz w:val="24"/>
          <w:szCs w:val="24"/>
        </w:rPr>
        <w:t xml:space="preserve">. </w:t>
      </w:r>
      <w:r w:rsidR="00B90B37" w:rsidRPr="00926A24">
        <w:rPr>
          <w:rFonts w:ascii="Arial" w:hAnsi="Arial" w:cs="Arial"/>
          <w:sz w:val="24"/>
          <w:szCs w:val="24"/>
        </w:rPr>
        <w:t>In the past few years, we’ve pointed to the low inventory to help explain the low sales volume numbers</w:t>
      </w:r>
      <w:r w:rsidR="009847D9">
        <w:rPr>
          <w:rFonts w:ascii="Arial" w:hAnsi="Arial" w:cs="Arial"/>
          <w:sz w:val="24"/>
          <w:szCs w:val="24"/>
        </w:rPr>
        <w:t>,</w:t>
      </w:r>
      <w:r w:rsidR="00B90B37" w:rsidRPr="00926A24">
        <w:rPr>
          <w:rFonts w:ascii="Arial" w:hAnsi="Arial" w:cs="Arial"/>
          <w:sz w:val="24"/>
          <w:szCs w:val="24"/>
        </w:rPr>
        <w:t xml:space="preserve"> but we</w:t>
      </w:r>
      <w:r w:rsidR="00133DBA" w:rsidRPr="00926A24">
        <w:rPr>
          <w:rFonts w:ascii="Arial" w:hAnsi="Arial" w:cs="Arial"/>
          <w:sz w:val="24"/>
          <w:szCs w:val="24"/>
        </w:rPr>
        <w:t xml:space="preserve"> can’t do that this quarter.</w:t>
      </w:r>
      <w:r w:rsidR="002A6058" w:rsidRPr="00926A24">
        <w:rPr>
          <w:rFonts w:ascii="Arial" w:hAnsi="Arial" w:cs="Arial"/>
          <w:sz w:val="24"/>
          <w:szCs w:val="24"/>
        </w:rPr>
        <w:t xml:space="preserve"> </w:t>
      </w:r>
      <w:r w:rsidR="008810D8" w:rsidRPr="00926A24">
        <w:rPr>
          <w:rFonts w:ascii="Arial" w:hAnsi="Arial" w:cs="Arial"/>
          <w:sz w:val="24"/>
          <w:szCs w:val="24"/>
        </w:rPr>
        <w:t xml:space="preserve"> </w:t>
      </w:r>
      <w:r w:rsidR="002A6058" w:rsidRPr="00926A24">
        <w:rPr>
          <w:rFonts w:ascii="Arial" w:hAnsi="Arial" w:cs="Arial"/>
          <w:sz w:val="24"/>
          <w:szCs w:val="24"/>
        </w:rPr>
        <w:t>(</w:t>
      </w:r>
      <w:r w:rsidR="00362608" w:rsidRPr="00926A24">
        <w:rPr>
          <w:rFonts w:ascii="Arial" w:hAnsi="Arial" w:cs="Arial"/>
          <w:sz w:val="24"/>
          <w:szCs w:val="24"/>
        </w:rPr>
        <w:t>See</w:t>
      </w:r>
      <w:r w:rsidR="002A6058" w:rsidRPr="00926A24">
        <w:rPr>
          <w:rFonts w:ascii="Arial" w:hAnsi="Arial" w:cs="Arial"/>
          <w:sz w:val="24"/>
          <w:szCs w:val="24"/>
        </w:rPr>
        <w:t xml:space="preserve"> next page)</w:t>
      </w:r>
    </w:p>
    <w:p w14:paraId="691B0221" w14:textId="4C2D8A19" w:rsidR="00917118" w:rsidRDefault="00917118" w:rsidP="00774F49">
      <w:pPr>
        <w:jc w:val="center"/>
        <w:rPr>
          <w:noProof/>
          <w:sz w:val="24"/>
          <w:szCs w:val="24"/>
        </w:rPr>
      </w:pPr>
    </w:p>
    <w:p w14:paraId="0A17C052" w14:textId="4C39B818" w:rsidR="00917118" w:rsidRDefault="00917118" w:rsidP="00774F49">
      <w:pPr>
        <w:jc w:val="center"/>
        <w:rPr>
          <w:noProof/>
          <w:sz w:val="24"/>
          <w:szCs w:val="24"/>
        </w:rPr>
      </w:pPr>
    </w:p>
    <w:p w14:paraId="5D58544C" w14:textId="7F02A22A" w:rsidR="00917118" w:rsidRDefault="00917118" w:rsidP="00774F49">
      <w:pPr>
        <w:jc w:val="center"/>
        <w:rPr>
          <w:noProof/>
          <w:sz w:val="24"/>
          <w:szCs w:val="24"/>
        </w:rPr>
      </w:pPr>
    </w:p>
    <w:p w14:paraId="23142098" w14:textId="56331A18" w:rsidR="00A3298F" w:rsidRDefault="00A3298F" w:rsidP="00774F49">
      <w:pPr>
        <w:jc w:val="center"/>
        <w:rPr>
          <w:noProof/>
          <w:sz w:val="24"/>
          <w:szCs w:val="24"/>
        </w:rPr>
      </w:pPr>
    </w:p>
    <w:p w14:paraId="017CF160" w14:textId="198DC093" w:rsidR="00A3298F" w:rsidRDefault="00A3298F">
      <w:pPr>
        <w:rPr>
          <w:noProof/>
          <w:sz w:val="24"/>
          <w:szCs w:val="24"/>
        </w:rPr>
      </w:pPr>
      <w:r>
        <w:rPr>
          <w:noProof/>
          <w:sz w:val="24"/>
          <w:szCs w:val="24"/>
        </w:rPr>
        <w:br w:type="page"/>
      </w:r>
    </w:p>
    <w:p w14:paraId="5F0B1BE1" w14:textId="0C45B503" w:rsidR="00917118" w:rsidRDefault="00272B15" w:rsidP="00774F49">
      <w:pPr>
        <w:jc w:val="center"/>
        <w:rPr>
          <w:noProof/>
          <w:sz w:val="24"/>
          <w:szCs w:val="24"/>
        </w:rPr>
      </w:pPr>
      <w:r>
        <w:rPr>
          <w:noProof/>
        </w:rPr>
        <w:lastRenderedPageBreak/>
        <w:drawing>
          <wp:inline distT="0" distB="0" distL="0" distR="0" wp14:anchorId="693DE7F0" wp14:editId="0A808D65">
            <wp:extent cx="6858000" cy="5144135"/>
            <wp:effectExtent l="0" t="0" r="0" b="18415"/>
            <wp:docPr id="14" name="Chart 14">
              <a:extLst xmlns:a="http://schemas.openxmlformats.org/drawingml/2006/main">
                <a:ext uri="{FF2B5EF4-FFF2-40B4-BE49-F238E27FC236}">
                  <a16:creationId xmlns:a16="http://schemas.microsoft.com/office/drawing/2014/main" id="{00000000-0008-0000-35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112EAA50" w14:textId="6B22384C" w:rsidR="00917118" w:rsidRPr="00926A24" w:rsidRDefault="0083660B" w:rsidP="00B93CAE">
      <w:pPr>
        <w:rPr>
          <w:rFonts w:ascii="Arial" w:hAnsi="Arial" w:cs="Arial"/>
          <w:sz w:val="24"/>
          <w:szCs w:val="24"/>
        </w:rPr>
      </w:pPr>
      <w:r w:rsidRPr="00926A24">
        <w:rPr>
          <w:rFonts w:ascii="Arial" w:hAnsi="Arial" w:cs="Arial"/>
          <w:b/>
          <w:sz w:val="24"/>
          <w:szCs w:val="24"/>
        </w:rPr>
        <w:t xml:space="preserve">Land </w:t>
      </w:r>
      <w:r w:rsidR="0064351F" w:rsidRPr="00926A24">
        <w:rPr>
          <w:rFonts w:ascii="Arial" w:hAnsi="Arial" w:cs="Arial"/>
          <w:b/>
          <w:sz w:val="24"/>
          <w:szCs w:val="24"/>
        </w:rPr>
        <w:t xml:space="preserve">Inventory:  </w:t>
      </w:r>
      <w:r w:rsidR="002A6058" w:rsidRPr="00926A24">
        <w:rPr>
          <w:rFonts w:ascii="Arial" w:hAnsi="Arial" w:cs="Arial"/>
          <w:bCs/>
          <w:sz w:val="24"/>
          <w:szCs w:val="24"/>
        </w:rPr>
        <w:t xml:space="preserve">There were an average of </w:t>
      </w:r>
      <w:r w:rsidR="00133DBA" w:rsidRPr="00926A24">
        <w:rPr>
          <w:rFonts w:ascii="Arial" w:hAnsi="Arial" w:cs="Arial"/>
          <w:bCs/>
          <w:sz w:val="24"/>
          <w:szCs w:val="24"/>
        </w:rPr>
        <w:t>130</w:t>
      </w:r>
      <w:r w:rsidR="002A6058" w:rsidRPr="00926A24">
        <w:rPr>
          <w:rFonts w:ascii="Arial" w:hAnsi="Arial" w:cs="Arial"/>
          <w:bCs/>
          <w:sz w:val="24"/>
          <w:szCs w:val="24"/>
        </w:rPr>
        <w:t xml:space="preserve"> parcels on the market over the course of the 3</w:t>
      </w:r>
      <w:r w:rsidR="002A6058" w:rsidRPr="00926A24">
        <w:rPr>
          <w:rFonts w:ascii="Arial" w:hAnsi="Arial" w:cs="Arial"/>
          <w:bCs/>
          <w:sz w:val="24"/>
          <w:szCs w:val="24"/>
          <w:vertAlign w:val="superscript"/>
        </w:rPr>
        <w:t>rd</w:t>
      </w:r>
      <w:r w:rsidR="002A6058" w:rsidRPr="00926A24">
        <w:rPr>
          <w:rFonts w:ascii="Arial" w:hAnsi="Arial" w:cs="Arial"/>
          <w:bCs/>
          <w:sz w:val="24"/>
          <w:szCs w:val="24"/>
        </w:rPr>
        <w:t xml:space="preserve"> quarter. </w:t>
      </w:r>
      <w:r w:rsidR="00DB499A" w:rsidRPr="00926A24">
        <w:rPr>
          <w:rFonts w:ascii="Arial" w:hAnsi="Arial" w:cs="Arial"/>
          <w:bCs/>
          <w:sz w:val="24"/>
          <w:szCs w:val="24"/>
        </w:rPr>
        <w:t xml:space="preserve">That is </w:t>
      </w:r>
      <w:r w:rsidR="00133DBA" w:rsidRPr="00926A24">
        <w:rPr>
          <w:rFonts w:ascii="Arial" w:hAnsi="Arial" w:cs="Arial"/>
          <w:bCs/>
          <w:sz w:val="24"/>
          <w:szCs w:val="24"/>
        </w:rPr>
        <w:t>still historically low but quite an increase from the 97 average in Q3 of 2021. Current i</w:t>
      </w:r>
      <w:r w:rsidR="0064351F" w:rsidRPr="00926A24">
        <w:rPr>
          <w:rFonts w:ascii="Arial" w:hAnsi="Arial" w:cs="Arial"/>
          <w:sz w:val="24"/>
          <w:szCs w:val="24"/>
        </w:rPr>
        <w:t xml:space="preserve">nventory </w:t>
      </w:r>
      <w:r w:rsidR="00133DBA" w:rsidRPr="00926A24">
        <w:rPr>
          <w:rFonts w:ascii="Arial" w:hAnsi="Arial" w:cs="Arial"/>
          <w:sz w:val="24"/>
          <w:szCs w:val="24"/>
        </w:rPr>
        <w:t>is at 125</w:t>
      </w:r>
      <w:r w:rsidR="009A2563" w:rsidRPr="00926A24">
        <w:rPr>
          <w:rFonts w:ascii="Arial" w:hAnsi="Arial" w:cs="Arial"/>
          <w:sz w:val="24"/>
          <w:szCs w:val="24"/>
        </w:rPr>
        <w:t xml:space="preserve"> </w:t>
      </w:r>
      <w:r w:rsidR="0064351F" w:rsidRPr="00926A24">
        <w:rPr>
          <w:rFonts w:ascii="Arial" w:hAnsi="Arial" w:cs="Arial"/>
          <w:sz w:val="24"/>
          <w:szCs w:val="24"/>
        </w:rPr>
        <w:t xml:space="preserve">parcels on the market – </w:t>
      </w:r>
      <w:r w:rsidR="00133DBA" w:rsidRPr="00926A24">
        <w:rPr>
          <w:rFonts w:ascii="Arial" w:hAnsi="Arial" w:cs="Arial"/>
          <w:sz w:val="24"/>
          <w:szCs w:val="24"/>
        </w:rPr>
        <w:t>only 13</w:t>
      </w:r>
      <w:r w:rsidR="0064351F" w:rsidRPr="00926A24">
        <w:rPr>
          <w:rFonts w:ascii="Arial" w:hAnsi="Arial" w:cs="Arial"/>
          <w:sz w:val="24"/>
          <w:szCs w:val="24"/>
        </w:rPr>
        <w:t xml:space="preserve"> of which are either under contract or pending</w:t>
      </w:r>
      <w:r w:rsidR="00DB499A" w:rsidRPr="00926A24">
        <w:rPr>
          <w:rFonts w:ascii="Arial" w:hAnsi="Arial" w:cs="Arial"/>
          <w:sz w:val="24"/>
          <w:szCs w:val="24"/>
        </w:rPr>
        <w:t xml:space="preserve"> leaving </w:t>
      </w:r>
      <w:r w:rsidR="00133DBA" w:rsidRPr="00926A24">
        <w:rPr>
          <w:rFonts w:ascii="Arial" w:hAnsi="Arial" w:cs="Arial"/>
          <w:sz w:val="24"/>
          <w:szCs w:val="24"/>
        </w:rPr>
        <w:t>112</w:t>
      </w:r>
      <w:r w:rsidR="00DB499A" w:rsidRPr="00926A24">
        <w:rPr>
          <w:rFonts w:ascii="Arial" w:hAnsi="Arial" w:cs="Arial"/>
          <w:sz w:val="24"/>
          <w:szCs w:val="24"/>
        </w:rPr>
        <w:t xml:space="preserve"> to sell</w:t>
      </w:r>
      <w:r w:rsidR="0064351F" w:rsidRPr="00926A24">
        <w:rPr>
          <w:rFonts w:ascii="Arial" w:hAnsi="Arial" w:cs="Arial"/>
          <w:sz w:val="24"/>
          <w:szCs w:val="24"/>
        </w:rPr>
        <w:t xml:space="preserve">. The current median asking price </w:t>
      </w:r>
      <w:r w:rsidR="00DB499A" w:rsidRPr="00926A24">
        <w:rPr>
          <w:rFonts w:ascii="Arial" w:hAnsi="Arial" w:cs="Arial"/>
          <w:sz w:val="24"/>
          <w:szCs w:val="24"/>
        </w:rPr>
        <w:t>is</w:t>
      </w:r>
      <w:r w:rsidR="0064351F" w:rsidRPr="00926A24">
        <w:rPr>
          <w:rFonts w:ascii="Arial" w:hAnsi="Arial" w:cs="Arial"/>
          <w:sz w:val="24"/>
          <w:szCs w:val="24"/>
        </w:rPr>
        <w:t xml:space="preserve"> </w:t>
      </w:r>
      <w:r w:rsidR="00133DBA" w:rsidRPr="00926A24">
        <w:rPr>
          <w:rFonts w:ascii="Arial" w:hAnsi="Arial" w:cs="Arial"/>
          <w:sz w:val="24"/>
          <w:szCs w:val="24"/>
        </w:rPr>
        <w:t xml:space="preserve">$229K (up from </w:t>
      </w:r>
      <w:r w:rsidR="0064351F" w:rsidRPr="00926A24">
        <w:rPr>
          <w:rFonts w:ascii="Arial" w:hAnsi="Arial" w:cs="Arial"/>
          <w:sz w:val="24"/>
          <w:szCs w:val="24"/>
        </w:rPr>
        <w:t>$1</w:t>
      </w:r>
      <w:r w:rsidR="00DB499A" w:rsidRPr="00926A24">
        <w:rPr>
          <w:rFonts w:ascii="Arial" w:hAnsi="Arial" w:cs="Arial"/>
          <w:sz w:val="24"/>
          <w:szCs w:val="24"/>
        </w:rPr>
        <w:t>58</w:t>
      </w:r>
      <w:r w:rsidR="0064351F" w:rsidRPr="00926A24">
        <w:rPr>
          <w:rFonts w:ascii="Arial" w:hAnsi="Arial" w:cs="Arial"/>
          <w:sz w:val="24"/>
          <w:szCs w:val="24"/>
        </w:rPr>
        <w:t>K</w:t>
      </w:r>
      <w:r w:rsidR="00133DBA" w:rsidRPr="00926A24">
        <w:rPr>
          <w:rFonts w:ascii="Arial" w:hAnsi="Arial" w:cs="Arial"/>
          <w:sz w:val="24"/>
          <w:szCs w:val="24"/>
        </w:rPr>
        <w:t xml:space="preserve"> last year!)</w:t>
      </w:r>
      <w:r w:rsidR="00DB499A" w:rsidRPr="00926A24">
        <w:rPr>
          <w:rFonts w:ascii="Arial" w:hAnsi="Arial" w:cs="Arial"/>
          <w:sz w:val="24"/>
          <w:szCs w:val="24"/>
        </w:rPr>
        <w:t xml:space="preserve">, the median size is </w:t>
      </w:r>
      <w:r w:rsidR="00133DBA" w:rsidRPr="00926A24">
        <w:rPr>
          <w:rFonts w:ascii="Arial" w:hAnsi="Arial" w:cs="Arial"/>
          <w:sz w:val="24"/>
          <w:szCs w:val="24"/>
        </w:rPr>
        <w:t>1.23</w:t>
      </w:r>
      <w:r w:rsidR="00DB499A" w:rsidRPr="00926A24">
        <w:rPr>
          <w:rFonts w:ascii="Arial" w:hAnsi="Arial" w:cs="Arial"/>
          <w:sz w:val="24"/>
          <w:szCs w:val="24"/>
        </w:rPr>
        <w:t xml:space="preserve"> acres</w:t>
      </w:r>
      <w:r w:rsidR="0064351F" w:rsidRPr="00926A24">
        <w:rPr>
          <w:rFonts w:ascii="Arial" w:hAnsi="Arial" w:cs="Arial"/>
          <w:sz w:val="24"/>
          <w:szCs w:val="24"/>
        </w:rPr>
        <w:t xml:space="preserve"> and the days on market for the active inventory currently sits at </w:t>
      </w:r>
      <w:r w:rsidR="00133DBA" w:rsidRPr="00926A24">
        <w:rPr>
          <w:rFonts w:ascii="Arial" w:hAnsi="Arial" w:cs="Arial"/>
          <w:sz w:val="24"/>
          <w:szCs w:val="24"/>
        </w:rPr>
        <w:t>93</w:t>
      </w:r>
      <w:r w:rsidR="0064351F" w:rsidRPr="00926A24">
        <w:rPr>
          <w:rFonts w:ascii="Arial" w:hAnsi="Arial" w:cs="Arial"/>
          <w:sz w:val="24"/>
          <w:szCs w:val="24"/>
        </w:rPr>
        <w:t>.</w:t>
      </w:r>
    </w:p>
    <w:p w14:paraId="3E736C4B" w14:textId="28E0CF6A" w:rsidR="00917118" w:rsidRPr="00926A24" w:rsidRDefault="0019729E" w:rsidP="00B93CAE">
      <w:pPr>
        <w:rPr>
          <w:rFonts w:ascii="Arial" w:hAnsi="Arial" w:cs="Arial"/>
          <w:sz w:val="24"/>
          <w:szCs w:val="24"/>
        </w:rPr>
      </w:pPr>
      <w:r w:rsidRPr="00926A24">
        <w:rPr>
          <w:rFonts w:ascii="Arial" w:hAnsi="Arial" w:cs="Arial"/>
          <w:sz w:val="24"/>
          <w:szCs w:val="24"/>
        </w:rPr>
        <w:t xml:space="preserve">Hopefully, this information has proven to be useful to you or at least interesting. </w:t>
      </w:r>
      <w:r w:rsidR="00917118" w:rsidRPr="00926A24">
        <w:rPr>
          <w:rFonts w:ascii="Arial" w:hAnsi="Arial" w:cs="Arial"/>
          <w:sz w:val="24"/>
          <w:szCs w:val="24"/>
        </w:rPr>
        <w:t>Please call us if you have any questions and know that we are happy to assist you when you need help buying or selling real estate in our beautiful area.</w:t>
      </w:r>
    </w:p>
    <w:p w14:paraId="1F911711" w14:textId="2D650DE3" w:rsidR="00917118" w:rsidRPr="00926A24" w:rsidRDefault="003224C7" w:rsidP="00B93CAE">
      <w:pPr>
        <w:rPr>
          <w:rFonts w:ascii="Arial" w:hAnsi="Arial" w:cs="Arial"/>
        </w:rPr>
      </w:pPr>
      <w:r w:rsidRPr="00926A24">
        <w:rPr>
          <w:rFonts w:ascii="Arial" w:hAnsi="Arial" w:cs="Arial"/>
          <w:noProof/>
        </w:rPr>
        <w:drawing>
          <wp:inline distT="0" distB="0" distL="0" distR="0" wp14:anchorId="11A852C8" wp14:editId="1E20BE8D">
            <wp:extent cx="1914277" cy="411480"/>
            <wp:effectExtent l="0" t="0" r="0"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24363" cy="413648"/>
                    </a:xfrm>
                    <a:prstGeom prst="rect">
                      <a:avLst/>
                    </a:prstGeom>
                    <a:noFill/>
                    <a:ln>
                      <a:noFill/>
                    </a:ln>
                  </pic:spPr>
                </pic:pic>
              </a:graphicData>
            </a:graphic>
          </wp:inline>
        </w:drawing>
      </w:r>
    </w:p>
    <w:p w14:paraId="72CEC8E5" w14:textId="155DE1AD" w:rsidR="00917118" w:rsidRPr="00926A24" w:rsidRDefault="00917118" w:rsidP="00917118">
      <w:pPr>
        <w:spacing w:after="0" w:line="240" w:lineRule="auto"/>
        <w:rPr>
          <w:rFonts w:ascii="Arial" w:hAnsi="Arial" w:cs="Arial"/>
          <w:b/>
          <w:bCs/>
        </w:rPr>
      </w:pPr>
      <w:r w:rsidRPr="00926A24">
        <w:rPr>
          <w:rFonts w:ascii="Arial" w:hAnsi="Arial" w:cs="Arial"/>
          <w:b/>
          <w:bCs/>
        </w:rPr>
        <w:t>E. Michael McAleer</w:t>
      </w:r>
    </w:p>
    <w:p w14:paraId="223A3009" w14:textId="44CED8EE" w:rsidR="00917118" w:rsidRPr="00926A24" w:rsidRDefault="00917118" w:rsidP="00917118">
      <w:pPr>
        <w:spacing w:after="0" w:line="240" w:lineRule="auto"/>
        <w:rPr>
          <w:rFonts w:ascii="Arial" w:hAnsi="Arial" w:cs="Arial"/>
        </w:rPr>
      </w:pPr>
      <w:r w:rsidRPr="00926A24">
        <w:rPr>
          <w:rFonts w:ascii="Arial" w:hAnsi="Arial" w:cs="Arial"/>
        </w:rPr>
        <w:t>Managing Broker</w:t>
      </w:r>
      <w:r w:rsidR="00376801" w:rsidRPr="00926A24">
        <w:rPr>
          <w:rFonts w:ascii="Arial" w:hAnsi="Arial" w:cs="Arial"/>
        </w:rPr>
        <w:t xml:space="preserve">, </w:t>
      </w:r>
      <w:r w:rsidRPr="00926A24">
        <w:rPr>
          <w:rFonts w:ascii="Arial" w:hAnsi="Arial" w:cs="Arial"/>
        </w:rPr>
        <w:t>RE/MAX Prime</w:t>
      </w:r>
    </w:p>
    <w:p w14:paraId="5C24B0B1" w14:textId="2D510CB9" w:rsidR="00917118" w:rsidRPr="001A0514" w:rsidRDefault="00917118" w:rsidP="00917118">
      <w:pPr>
        <w:spacing w:after="0" w:line="240" w:lineRule="auto"/>
        <w:rPr>
          <w:rFonts w:ascii="Arial" w:hAnsi="Arial" w:cs="Arial"/>
          <w:lang w:val="fr-FR"/>
        </w:rPr>
      </w:pPr>
      <w:r w:rsidRPr="001A0514">
        <w:rPr>
          <w:rFonts w:ascii="Arial" w:hAnsi="Arial" w:cs="Arial"/>
          <w:lang w:val="fr-FR"/>
        </w:rPr>
        <w:t>CRS, GRI, ABR, SRES, CNE</w:t>
      </w:r>
    </w:p>
    <w:p w14:paraId="1961E2B0" w14:textId="26297FC1" w:rsidR="00917118" w:rsidRPr="001A0514" w:rsidRDefault="00917118" w:rsidP="00917118">
      <w:pPr>
        <w:spacing w:after="0" w:line="240" w:lineRule="auto"/>
        <w:rPr>
          <w:rFonts w:ascii="Arial" w:hAnsi="Arial" w:cs="Arial"/>
          <w:lang w:val="fr-FR"/>
        </w:rPr>
      </w:pPr>
      <w:r w:rsidRPr="001A0514">
        <w:rPr>
          <w:rFonts w:ascii="Arial" w:hAnsi="Arial" w:cs="Arial"/>
          <w:lang w:val="fr-FR"/>
        </w:rPr>
        <w:t>360.460.2839 Cell</w:t>
      </w:r>
    </w:p>
    <w:p w14:paraId="26352309" w14:textId="2A2D6C6E" w:rsidR="00917118" w:rsidRPr="00926A24" w:rsidRDefault="00917118" w:rsidP="00917118">
      <w:pPr>
        <w:spacing w:after="0" w:line="240" w:lineRule="auto"/>
        <w:rPr>
          <w:rFonts w:ascii="Arial" w:hAnsi="Arial" w:cs="Arial"/>
        </w:rPr>
      </w:pPr>
      <w:r w:rsidRPr="00926A24">
        <w:rPr>
          <w:rFonts w:ascii="Arial" w:hAnsi="Arial" w:cs="Arial"/>
        </w:rPr>
        <w:t>360.683.1500 Office</w:t>
      </w:r>
    </w:p>
    <w:p w14:paraId="1B922AC4" w14:textId="03D986F9" w:rsidR="00B97801" w:rsidRPr="00926A24" w:rsidRDefault="00917118" w:rsidP="003224C7">
      <w:pPr>
        <w:spacing w:after="0" w:line="240" w:lineRule="auto"/>
        <w:rPr>
          <w:rFonts w:ascii="Arial" w:hAnsi="Arial" w:cs="Arial"/>
        </w:rPr>
      </w:pPr>
      <w:r w:rsidRPr="00926A24">
        <w:rPr>
          <w:rFonts w:ascii="Arial" w:hAnsi="Arial" w:cs="Arial"/>
        </w:rPr>
        <w:t>www.teammcaleer.com</w:t>
      </w:r>
    </w:p>
    <w:sectPr w:rsidR="00B97801" w:rsidRPr="00926A24" w:rsidSect="00360172">
      <w:foot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2B095" w14:textId="77777777" w:rsidR="006169DF" w:rsidRDefault="006169DF" w:rsidP="00F108E1">
      <w:pPr>
        <w:spacing w:after="0" w:line="240" w:lineRule="auto"/>
      </w:pPr>
      <w:r>
        <w:separator/>
      </w:r>
    </w:p>
  </w:endnote>
  <w:endnote w:type="continuationSeparator" w:id="0">
    <w:p w14:paraId="69E35F68" w14:textId="77777777" w:rsidR="006169DF" w:rsidRDefault="006169DF" w:rsidP="00F108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D0C0C" w14:textId="77777777" w:rsidR="00F108E1" w:rsidRDefault="00F108E1" w:rsidP="00F108E1">
    <w:pPr>
      <w:pStyle w:val="Footer"/>
      <w:jc w:val="center"/>
    </w:pPr>
    <w:r>
      <w:t xml:space="preserve">This report was created by and is the property of Team McAleer and is exclusively for the use of their clients.    Page | </w:t>
    </w:r>
    <w:r w:rsidR="0092244D">
      <w:fldChar w:fldCharType="begin"/>
    </w:r>
    <w:r w:rsidR="006A18B6">
      <w:instrText xml:space="preserve"> PAGE   \* MERGEFORMAT </w:instrText>
    </w:r>
    <w:r w:rsidR="0092244D">
      <w:fldChar w:fldCharType="separate"/>
    </w:r>
    <w:r w:rsidR="00986383">
      <w:rPr>
        <w:noProof/>
      </w:rPr>
      <w:t>6</w:t>
    </w:r>
    <w:r w:rsidR="0092244D">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F49B6D" w14:textId="77777777" w:rsidR="006169DF" w:rsidRDefault="006169DF" w:rsidP="00F108E1">
      <w:pPr>
        <w:spacing w:after="0" w:line="240" w:lineRule="auto"/>
      </w:pPr>
      <w:r>
        <w:separator/>
      </w:r>
    </w:p>
  </w:footnote>
  <w:footnote w:type="continuationSeparator" w:id="0">
    <w:p w14:paraId="16C68DFF" w14:textId="77777777" w:rsidR="006169DF" w:rsidRDefault="006169DF" w:rsidP="00F108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AD25CF"/>
    <w:multiLevelType w:val="hybridMultilevel"/>
    <w:tmpl w:val="AC1299B0"/>
    <w:lvl w:ilvl="0" w:tplc="151E63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227138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v6l03q0sxKUhNztIW2tdB7ygMCoK0yllbrUwqho+nzaPbF6iwBhl+vRJHnNh+mItrG4rB9IGfIZ83hzIjkND3g==" w:salt="xBb0uOOUlJej3Bm4Q1V9Mg=="/>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7A3C"/>
    <w:rsid w:val="00003724"/>
    <w:rsid w:val="00003F06"/>
    <w:rsid w:val="00004FCF"/>
    <w:rsid w:val="0000731E"/>
    <w:rsid w:val="00025F4B"/>
    <w:rsid w:val="00041FD2"/>
    <w:rsid w:val="00062327"/>
    <w:rsid w:val="0006601C"/>
    <w:rsid w:val="0006776E"/>
    <w:rsid w:val="00067E73"/>
    <w:rsid w:val="00070E5C"/>
    <w:rsid w:val="000737C3"/>
    <w:rsid w:val="00086447"/>
    <w:rsid w:val="0009658C"/>
    <w:rsid w:val="00096A9E"/>
    <w:rsid w:val="0009720B"/>
    <w:rsid w:val="000979D8"/>
    <w:rsid w:val="000A7460"/>
    <w:rsid w:val="000A7D6F"/>
    <w:rsid w:val="000C336A"/>
    <w:rsid w:val="000D203E"/>
    <w:rsid w:val="000D65A7"/>
    <w:rsid w:val="000D6FF2"/>
    <w:rsid w:val="000F311B"/>
    <w:rsid w:val="00102894"/>
    <w:rsid w:val="00107AB6"/>
    <w:rsid w:val="001177D5"/>
    <w:rsid w:val="001212A8"/>
    <w:rsid w:val="0012522A"/>
    <w:rsid w:val="00132631"/>
    <w:rsid w:val="00133DBA"/>
    <w:rsid w:val="0013601F"/>
    <w:rsid w:val="00141408"/>
    <w:rsid w:val="0014750A"/>
    <w:rsid w:val="00153FE9"/>
    <w:rsid w:val="001548D7"/>
    <w:rsid w:val="001556D7"/>
    <w:rsid w:val="001649BE"/>
    <w:rsid w:val="0017553B"/>
    <w:rsid w:val="001762E9"/>
    <w:rsid w:val="0018640D"/>
    <w:rsid w:val="0019729E"/>
    <w:rsid w:val="001A0514"/>
    <w:rsid w:val="001A60D6"/>
    <w:rsid w:val="001A7869"/>
    <w:rsid w:val="001B6403"/>
    <w:rsid w:val="001B6F76"/>
    <w:rsid w:val="001C7EA6"/>
    <w:rsid w:val="001D764E"/>
    <w:rsid w:val="001D7A34"/>
    <w:rsid w:val="001E29D3"/>
    <w:rsid w:val="001F2F27"/>
    <w:rsid w:val="00201940"/>
    <w:rsid w:val="00204EF2"/>
    <w:rsid w:val="002107DF"/>
    <w:rsid w:val="00213AD6"/>
    <w:rsid w:val="00214DF1"/>
    <w:rsid w:val="0022605A"/>
    <w:rsid w:val="00226B0E"/>
    <w:rsid w:val="00243230"/>
    <w:rsid w:val="0024378C"/>
    <w:rsid w:val="002477DB"/>
    <w:rsid w:val="0025230D"/>
    <w:rsid w:val="002641C2"/>
    <w:rsid w:val="0026577F"/>
    <w:rsid w:val="00265D58"/>
    <w:rsid w:val="002663E1"/>
    <w:rsid w:val="00272B15"/>
    <w:rsid w:val="002740DC"/>
    <w:rsid w:val="00280EBB"/>
    <w:rsid w:val="002851F5"/>
    <w:rsid w:val="002A16E2"/>
    <w:rsid w:val="002A1C7D"/>
    <w:rsid w:val="002A4654"/>
    <w:rsid w:val="002A6058"/>
    <w:rsid w:val="002C33B1"/>
    <w:rsid w:val="002D781C"/>
    <w:rsid w:val="002E0362"/>
    <w:rsid w:val="002E5D71"/>
    <w:rsid w:val="002E6479"/>
    <w:rsid w:val="002F3885"/>
    <w:rsid w:val="002F49FE"/>
    <w:rsid w:val="002F4D01"/>
    <w:rsid w:val="003006C0"/>
    <w:rsid w:val="00305F69"/>
    <w:rsid w:val="00310D8A"/>
    <w:rsid w:val="00311085"/>
    <w:rsid w:val="00321A5F"/>
    <w:rsid w:val="00321DE2"/>
    <w:rsid w:val="00321F6B"/>
    <w:rsid w:val="003224C7"/>
    <w:rsid w:val="00327CA7"/>
    <w:rsid w:val="0033380B"/>
    <w:rsid w:val="0034001A"/>
    <w:rsid w:val="00360172"/>
    <w:rsid w:val="00360F6E"/>
    <w:rsid w:val="00361452"/>
    <w:rsid w:val="00362608"/>
    <w:rsid w:val="00364F1D"/>
    <w:rsid w:val="00365E23"/>
    <w:rsid w:val="00374A0C"/>
    <w:rsid w:val="00376801"/>
    <w:rsid w:val="0039109C"/>
    <w:rsid w:val="003946E5"/>
    <w:rsid w:val="003952C0"/>
    <w:rsid w:val="00395F7C"/>
    <w:rsid w:val="003975CA"/>
    <w:rsid w:val="003A61E6"/>
    <w:rsid w:val="003B5858"/>
    <w:rsid w:val="003D5AAE"/>
    <w:rsid w:val="003E03B2"/>
    <w:rsid w:val="003E0ADD"/>
    <w:rsid w:val="003E3B4A"/>
    <w:rsid w:val="003E4ED8"/>
    <w:rsid w:val="003E6319"/>
    <w:rsid w:val="003E6666"/>
    <w:rsid w:val="003F3C5C"/>
    <w:rsid w:val="003F40E2"/>
    <w:rsid w:val="003F5E4F"/>
    <w:rsid w:val="00401517"/>
    <w:rsid w:val="004044E3"/>
    <w:rsid w:val="00405B52"/>
    <w:rsid w:val="00405B9F"/>
    <w:rsid w:val="00407FF8"/>
    <w:rsid w:val="00414034"/>
    <w:rsid w:val="0042611B"/>
    <w:rsid w:val="00435C29"/>
    <w:rsid w:val="0043629B"/>
    <w:rsid w:val="0045215B"/>
    <w:rsid w:val="00456944"/>
    <w:rsid w:val="004738EC"/>
    <w:rsid w:val="0048493E"/>
    <w:rsid w:val="004978F9"/>
    <w:rsid w:val="004A0CB7"/>
    <w:rsid w:val="004A0D7E"/>
    <w:rsid w:val="004A3DDF"/>
    <w:rsid w:val="004A4638"/>
    <w:rsid w:val="004A62DB"/>
    <w:rsid w:val="004B4233"/>
    <w:rsid w:val="004D26D8"/>
    <w:rsid w:val="004E1D91"/>
    <w:rsid w:val="004E2971"/>
    <w:rsid w:val="004E3D6D"/>
    <w:rsid w:val="004E6261"/>
    <w:rsid w:val="00503A57"/>
    <w:rsid w:val="0051350D"/>
    <w:rsid w:val="005279A1"/>
    <w:rsid w:val="0053376B"/>
    <w:rsid w:val="00535B37"/>
    <w:rsid w:val="00546AFF"/>
    <w:rsid w:val="00557D73"/>
    <w:rsid w:val="00565294"/>
    <w:rsid w:val="00576838"/>
    <w:rsid w:val="0058139A"/>
    <w:rsid w:val="005879B3"/>
    <w:rsid w:val="00587C4A"/>
    <w:rsid w:val="00590037"/>
    <w:rsid w:val="00591393"/>
    <w:rsid w:val="005938B2"/>
    <w:rsid w:val="005A4BE1"/>
    <w:rsid w:val="005A623F"/>
    <w:rsid w:val="005A6C4D"/>
    <w:rsid w:val="005B35D9"/>
    <w:rsid w:val="005B408E"/>
    <w:rsid w:val="005B45B7"/>
    <w:rsid w:val="005C4151"/>
    <w:rsid w:val="005C5C25"/>
    <w:rsid w:val="005C684C"/>
    <w:rsid w:val="005D1E75"/>
    <w:rsid w:val="005D225A"/>
    <w:rsid w:val="005D641F"/>
    <w:rsid w:val="005F1924"/>
    <w:rsid w:val="005F3C07"/>
    <w:rsid w:val="005F43FF"/>
    <w:rsid w:val="005F51CD"/>
    <w:rsid w:val="00604FA8"/>
    <w:rsid w:val="00605C63"/>
    <w:rsid w:val="0060782F"/>
    <w:rsid w:val="00611216"/>
    <w:rsid w:val="00612455"/>
    <w:rsid w:val="006169DF"/>
    <w:rsid w:val="00620CFB"/>
    <w:rsid w:val="00622B18"/>
    <w:rsid w:val="0064351F"/>
    <w:rsid w:val="00647752"/>
    <w:rsid w:val="006541E9"/>
    <w:rsid w:val="006673B5"/>
    <w:rsid w:val="006741A4"/>
    <w:rsid w:val="00674CF9"/>
    <w:rsid w:val="006827A2"/>
    <w:rsid w:val="00686D6B"/>
    <w:rsid w:val="00690EE9"/>
    <w:rsid w:val="0069288A"/>
    <w:rsid w:val="00696213"/>
    <w:rsid w:val="006A18B6"/>
    <w:rsid w:val="006A2C4D"/>
    <w:rsid w:val="006B3AA7"/>
    <w:rsid w:val="006D00B2"/>
    <w:rsid w:val="006D7F03"/>
    <w:rsid w:val="006E7AB1"/>
    <w:rsid w:val="00705091"/>
    <w:rsid w:val="00710677"/>
    <w:rsid w:val="007134E2"/>
    <w:rsid w:val="00721F64"/>
    <w:rsid w:val="007447E0"/>
    <w:rsid w:val="007447E4"/>
    <w:rsid w:val="00744E2D"/>
    <w:rsid w:val="00745285"/>
    <w:rsid w:val="00745A4D"/>
    <w:rsid w:val="00751AA6"/>
    <w:rsid w:val="00755E3F"/>
    <w:rsid w:val="00766428"/>
    <w:rsid w:val="0076762E"/>
    <w:rsid w:val="00767899"/>
    <w:rsid w:val="00767F09"/>
    <w:rsid w:val="00770554"/>
    <w:rsid w:val="00774F49"/>
    <w:rsid w:val="00793979"/>
    <w:rsid w:val="007A5752"/>
    <w:rsid w:val="007B0E8F"/>
    <w:rsid w:val="007B2A3C"/>
    <w:rsid w:val="007B7316"/>
    <w:rsid w:val="007B748C"/>
    <w:rsid w:val="007C6375"/>
    <w:rsid w:val="007C7A91"/>
    <w:rsid w:val="007E0335"/>
    <w:rsid w:val="007E281A"/>
    <w:rsid w:val="007E3EEE"/>
    <w:rsid w:val="00803BCE"/>
    <w:rsid w:val="00804888"/>
    <w:rsid w:val="00811081"/>
    <w:rsid w:val="008172CA"/>
    <w:rsid w:val="00824973"/>
    <w:rsid w:val="00832280"/>
    <w:rsid w:val="0083660B"/>
    <w:rsid w:val="0083698F"/>
    <w:rsid w:val="00840DAA"/>
    <w:rsid w:val="008433E7"/>
    <w:rsid w:val="00844847"/>
    <w:rsid w:val="00851A1C"/>
    <w:rsid w:val="00852C54"/>
    <w:rsid w:val="008612EA"/>
    <w:rsid w:val="00864B6E"/>
    <w:rsid w:val="008662FF"/>
    <w:rsid w:val="0087524D"/>
    <w:rsid w:val="008771F9"/>
    <w:rsid w:val="008810D8"/>
    <w:rsid w:val="00897259"/>
    <w:rsid w:val="00897E73"/>
    <w:rsid w:val="008A3AE5"/>
    <w:rsid w:val="008B2769"/>
    <w:rsid w:val="008B7247"/>
    <w:rsid w:val="008B7E04"/>
    <w:rsid w:val="008C07F9"/>
    <w:rsid w:val="008C11B4"/>
    <w:rsid w:val="008E6C5C"/>
    <w:rsid w:val="008F4886"/>
    <w:rsid w:val="008F6D05"/>
    <w:rsid w:val="00910DC5"/>
    <w:rsid w:val="00914D90"/>
    <w:rsid w:val="00915A27"/>
    <w:rsid w:val="009163AA"/>
    <w:rsid w:val="00917118"/>
    <w:rsid w:val="0092244D"/>
    <w:rsid w:val="009260C6"/>
    <w:rsid w:val="00926A24"/>
    <w:rsid w:val="00940B66"/>
    <w:rsid w:val="009445C6"/>
    <w:rsid w:val="00957388"/>
    <w:rsid w:val="00971A53"/>
    <w:rsid w:val="009742D2"/>
    <w:rsid w:val="009775B4"/>
    <w:rsid w:val="00980828"/>
    <w:rsid w:val="009847D9"/>
    <w:rsid w:val="00986383"/>
    <w:rsid w:val="00990AAC"/>
    <w:rsid w:val="00997D80"/>
    <w:rsid w:val="009A1D7C"/>
    <w:rsid w:val="009A2563"/>
    <w:rsid w:val="009B2195"/>
    <w:rsid w:val="009B4168"/>
    <w:rsid w:val="009E6187"/>
    <w:rsid w:val="009F5481"/>
    <w:rsid w:val="00A00831"/>
    <w:rsid w:val="00A02F92"/>
    <w:rsid w:val="00A065DA"/>
    <w:rsid w:val="00A22974"/>
    <w:rsid w:val="00A23FF6"/>
    <w:rsid w:val="00A313AF"/>
    <w:rsid w:val="00A3298F"/>
    <w:rsid w:val="00A42C96"/>
    <w:rsid w:val="00A46549"/>
    <w:rsid w:val="00A4749D"/>
    <w:rsid w:val="00A626DF"/>
    <w:rsid w:val="00A6426F"/>
    <w:rsid w:val="00A6489A"/>
    <w:rsid w:val="00A675DB"/>
    <w:rsid w:val="00A77259"/>
    <w:rsid w:val="00A805B2"/>
    <w:rsid w:val="00A80D59"/>
    <w:rsid w:val="00A80E01"/>
    <w:rsid w:val="00A84245"/>
    <w:rsid w:val="00A86946"/>
    <w:rsid w:val="00AA19E7"/>
    <w:rsid w:val="00AA40CC"/>
    <w:rsid w:val="00AB1529"/>
    <w:rsid w:val="00AB2AEA"/>
    <w:rsid w:val="00AB2AF2"/>
    <w:rsid w:val="00AC4466"/>
    <w:rsid w:val="00AD2327"/>
    <w:rsid w:val="00AD3B1B"/>
    <w:rsid w:val="00AE088D"/>
    <w:rsid w:val="00AE0C65"/>
    <w:rsid w:val="00AE4F96"/>
    <w:rsid w:val="00AE57CF"/>
    <w:rsid w:val="00AF3886"/>
    <w:rsid w:val="00AF46D3"/>
    <w:rsid w:val="00AF7EA2"/>
    <w:rsid w:val="00B01F2F"/>
    <w:rsid w:val="00B02116"/>
    <w:rsid w:val="00B12E2A"/>
    <w:rsid w:val="00B20B38"/>
    <w:rsid w:val="00B42EF4"/>
    <w:rsid w:val="00B46C4D"/>
    <w:rsid w:val="00B62F7D"/>
    <w:rsid w:val="00B66E93"/>
    <w:rsid w:val="00B767F5"/>
    <w:rsid w:val="00B80B14"/>
    <w:rsid w:val="00B90B37"/>
    <w:rsid w:val="00B91056"/>
    <w:rsid w:val="00B936A6"/>
    <w:rsid w:val="00B93908"/>
    <w:rsid w:val="00B93CAE"/>
    <w:rsid w:val="00B97801"/>
    <w:rsid w:val="00BA620E"/>
    <w:rsid w:val="00BD6925"/>
    <w:rsid w:val="00BD7858"/>
    <w:rsid w:val="00BE1DB1"/>
    <w:rsid w:val="00BE33B0"/>
    <w:rsid w:val="00BE6338"/>
    <w:rsid w:val="00BF45B0"/>
    <w:rsid w:val="00BF69D8"/>
    <w:rsid w:val="00C00036"/>
    <w:rsid w:val="00C03A43"/>
    <w:rsid w:val="00C060C3"/>
    <w:rsid w:val="00C10736"/>
    <w:rsid w:val="00C13566"/>
    <w:rsid w:val="00C14989"/>
    <w:rsid w:val="00C14F29"/>
    <w:rsid w:val="00C20BC2"/>
    <w:rsid w:val="00C24ED5"/>
    <w:rsid w:val="00C27204"/>
    <w:rsid w:val="00C27592"/>
    <w:rsid w:val="00C3033E"/>
    <w:rsid w:val="00C310F1"/>
    <w:rsid w:val="00C34D39"/>
    <w:rsid w:val="00C35979"/>
    <w:rsid w:val="00C4048C"/>
    <w:rsid w:val="00C47A3C"/>
    <w:rsid w:val="00C54C83"/>
    <w:rsid w:val="00C553E3"/>
    <w:rsid w:val="00C658C4"/>
    <w:rsid w:val="00C75439"/>
    <w:rsid w:val="00C75F21"/>
    <w:rsid w:val="00C82A1C"/>
    <w:rsid w:val="00C87328"/>
    <w:rsid w:val="00C87DC9"/>
    <w:rsid w:val="00C93EB3"/>
    <w:rsid w:val="00C94C09"/>
    <w:rsid w:val="00C97D9D"/>
    <w:rsid w:val="00CA6333"/>
    <w:rsid w:val="00CB61BA"/>
    <w:rsid w:val="00CB7FE3"/>
    <w:rsid w:val="00CE12D4"/>
    <w:rsid w:val="00CE3997"/>
    <w:rsid w:val="00CF16FB"/>
    <w:rsid w:val="00D00DF9"/>
    <w:rsid w:val="00D06995"/>
    <w:rsid w:val="00D16192"/>
    <w:rsid w:val="00D32607"/>
    <w:rsid w:val="00D35F54"/>
    <w:rsid w:val="00D52D9A"/>
    <w:rsid w:val="00D53B68"/>
    <w:rsid w:val="00D60694"/>
    <w:rsid w:val="00D64FC4"/>
    <w:rsid w:val="00D656FC"/>
    <w:rsid w:val="00D65B03"/>
    <w:rsid w:val="00D6697B"/>
    <w:rsid w:val="00D66B35"/>
    <w:rsid w:val="00D77097"/>
    <w:rsid w:val="00D7796A"/>
    <w:rsid w:val="00D86A4C"/>
    <w:rsid w:val="00D970F9"/>
    <w:rsid w:val="00DA1370"/>
    <w:rsid w:val="00DA46FF"/>
    <w:rsid w:val="00DB22E7"/>
    <w:rsid w:val="00DB499A"/>
    <w:rsid w:val="00DB5644"/>
    <w:rsid w:val="00DE1063"/>
    <w:rsid w:val="00DF1509"/>
    <w:rsid w:val="00E00A25"/>
    <w:rsid w:val="00E03315"/>
    <w:rsid w:val="00E2661D"/>
    <w:rsid w:val="00E34161"/>
    <w:rsid w:val="00E50616"/>
    <w:rsid w:val="00E53BBE"/>
    <w:rsid w:val="00E621CD"/>
    <w:rsid w:val="00E62994"/>
    <w:rsid w:val="00E76728"/>
    <w:rsid w:val="00E91AC7"/>
    <w:rsid w:val="00E95B8E"/>
    <w:rsid w:val="00E97395"/>
    <w:rsid w:val="00EB28E4"/>
    <w:rsid w:val="00EB3F96"/>
    <w:rsid w:val="00EB442F"/>
    <w:rsid w:val="00EB7F1C"/>
    <w:rsid w:val="00EC6066"/>
    <w:rsid w:val="00EC64CC"/>
    <w:rsid w:val="00EE777F"/>
    <w:rsid w:val="00EF4902"/>
    <w:rsid w:val="00EF58EF"/>
    <w:rsid w:val="00F0216B"/>
    <w:rsid w:val="00F071BF"/>
    <w:rsid w:val="00F108E1"/>
    <w:rsid w:val="00F1208A"/>
    <w:rsid w:val="00F15318"/>
    <w:rsid w:val="00F16C40"/>
    <w:rsid w:val="00F203A7"/>
    <w:rsid w:val="00F411EB"/>
    <w:rsid w:val="00F523B1"/>
    <w:rsid w:val="00F61843"/>
    <w:rsid w:val="00F66355"/>
    <w:rsid w:val="00F762BC"/>
    <w:rsid w:val="00F84F8A"/>
    <w:rsid w:val="00F85A11"/>
    <w:rsid w:val="00F905BB"/>
    <w:rsid w:val="00F96289"/>
    <w:rsid w:val="00FA18A7"/>
    <w:rsid w:val="00FA7CCB"/>
    <w:rsid w:val="00FB4A0D"/>
    <w:rsid w:val="00FC71DE"/>
    <w:rsid w:val="00FD0369"/>
    <w:rsid w:val="00FF2CC9"/>
    <w:rsid w:val="00FF5F13"/>
    <w:rsid w:val="00FF6C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B54B95"/>
  <w15:docId w15:val="{B784850B-F730-41BD-9572-1E6D593C0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69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108E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108E1"/>
  </w:style>
  <w:style w:type="paragraph" w:styleId="Footer">
    <w:name w:val="footer"/>
    <w:basedOn w:val="Normal"/>
    <w:link w:val="FooterChar"/>
    <w:uiPriority w:val="99"/>
    <w:semiHidden/>
    <w:unhideWhenUsed/>
    <w:rsid w:val="00F108E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108E1"/>
  </w:style>
  <w:style w:type="paragraph" w:styleId="ListParagraph">
    <w:name w:val="List Paragraph"/>
    <w:basedOn w:val="Normal"/>
    <w:uiPriority w:val="34"/>
    <w:qFormat/>
    <w:rsid w:val="00A626DF"/>
    <w:pPr>
      <w:ind w:left="720"/>
      <w:contextualSpacing/>
    </w:pPr>
  </w:style>
  <w:style w:type="paragraph" w:styleId="BalloonText">
    <w:name w:val="Balloon Text"/>
    <w:basedOn w:val="Normal"/>
    <w:link w:val="BalloonTextChar"/>
    <w:uiPriority w:val="99"/>
    <w:semiHidden/>
    <w:unhideWhenUsed/>
    <w:rsid w:val="00DA13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1370"/>
    <w:rPr>
      <w:rFonts w:ascii="Segoe UI" w:hAnsi="Segoe UI" w:cs="Segoe UI"/>
      <w:sz w:val="18"/>
      <w:szCs w:val="18"/>
    </w:rPr>
  </w:style>
  <w:style w:type="table" w:styleId="TableGrid">
    <w:name w:val="Table Grid"/>
    <w:basedOn w:val="TableNormal"/>
    <w:uiPriority w:val="59"/>
    <w:rsid w:val="00803B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060C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973444">
      <w:bodyDiv w:val="1"/>
      <w:marLeft w:val="0"/>
      <w:marRight w:val="0"/>
      <w:marTop w:val="0"/>
      <w:marBottom w:val="0"/>
      <w:divBdr>
        <w:top w:val="none" w:sz="0" w:space="0" w:color="auto"/>
        <w:left w:val="none" w:sz="0" w:space="0" w:color="auto"/>
        <w:bottom w:val="none" w:sz="0" w:space="0" w:color="auto"/>
        <w:right w:val="none" w:sz="0" w:space="0" w:color="auto"/>
      </w:divBdr>
    </w:div>
    <w:div w:id="380372727">
      <w:bodyDiv w:val="1"/>
      <w:marLeft w:val="0"/>
      <w:marRight w:val="0"/>
      <w:marTop w:val="0"/>
      <w:marBottom w:val="0"/>
      <w:divBdr>
        <w:top w:val="none" w:sz="0" w:space="0" w:color="auto"/>
        <w:left w:val="none" w:sz="0" w:space="0" w:color="auto"/>
        <w:bottom w:val="none" w:sz="0" w:space="0" w:color="auto"/>
        <w:right w:val="none" w:sz="0" w:space="0" w:color="auto"/>
      </w:divBdr>
    </w:div>
    <w:div w:id="504592573">
      <w:bodyDiv w:val="1"/>
      <w:marLeft w:val="0"/>
      <w:marRight w:val="0"/>
      <w:marTop w:val="0"/>
      <w:marBottom w:val="0"/>
      <w:divBdr>
        <w:top w:val="none" w:sz="0" w:space="0" w:color="auto"/>
        <w:left w:val="none" w:sz="0" w:space="0" w:color="auto"/>
        <w:bottom w:val="none" w:sz="0" w:space="0" w:color="auto"/>
        <w:right w:val="none" w:sz="0" w:space="0" w:color="auto"/>
      </w:divBdr>
    </w:div>
    <w:div w:id="560210827">
      <w:bodyDiv w:val="1"/>
      <w:marLeft w:val="0"/>
      <w:marRight w:val="0"/>
      <w:marTop w:val="0"/>
      <w:marBottom w:val="0"/>
      <w:divBdr>
        <w:top w:val="none" w:sz="0" w:space="0" w:color="auto"/>
        <w:left w:val="none" w:sz="0" w:space="0" w:color="auto"/>
        <w:bottom w:val="none" w:sz="0" w:space="0" w:color="auto"/>
        <w:right w:val="none" w:sz="0" w:space="0" w:color="auto"/>
      </w:divBdr>
    </w:div>
    <w:div w:id="602038050">
      <w:bodyDiv w:val="1"/>
      <w:marLeft w:val="0"/>
      <w:marRight w:val="0"/>
      <w:marTop w:val="0"/>
      <w:marBottom w:val="0"/>
      <w:divBdr>
        <w:top w:val="none" w:sz="0" w:space="0" w:color="auto"/>
        <w:left w:val="none" w:sz="0" w:space="0" w:color="auto"/>
        <w:bottom w:val="none" w:sz="0" w:space="0" w:color="auto"/>
        <w:right w:val="none" w:sz="0" w:space="0" w:color="auto"/>
      </w:divBdr>
    </w:div>
    <w:div w:id="625044151">
      <w:bodyDiv w:val="1"/>
      <w:marLeft w:val="0"/>
      <w:marRight w:val="0"/>
      <w:marTop w:val="0"/>
      <w:marBottom w:val="0"/>
      <w:divBdr>
        <w:top w:val="none" w:sz="0" w:space="0" w:color="auto"/>
        <w:left w:val="none" w:sz="0" w:space="0" w:color="auto"/>
        <w:bottom w:val="none" w:sz="0" w:space="0" w:color="auto"/>
        <w:right w:val="none" w:sz="0" w:space="0" w:color="auto"/>
      </w:divBdr>
    </w:div>
    <w:div w:id="768626948">
      <w:bodyDiv w:val="1"/>
      <w:marLeft w:val="0"/>
      <w:marRight w:val="0"/>
      <w:marTop w:val="0"/>
      <w:marBottom w:val="0"/>
      <w:divBdr>
        <w:top w:val="none" w:sz="0" w:space="0" w:color="auto"/>
        <w:left w:val="none" w:sz="0" w:space="0" w:color="auto"/>
        <w:bottom w:val="none" w:sz="0" w:space="0" w:color="auto"/>
        <w:right w:val="none" w:sz="0" w:space="0" w:color="auto"/>
      </w:divBdr>
    </w:div>
    <w:div w:id="1178039298">
      <w:bodyDiv w:val="1"/>
      <w:marLeft w:val="0"/>
      <w:marRight w:val="0"/>
      <w:marTop w:val="0"/>
      <w:marBottom w:val="0"/>
      <w:divBdr>
        <w:top w:val="none" w:sz="0" w:space="0" w:color="auto"/>
        <w:left w:val="none" w:sz="0" w:space="0" w:color="auto"/>
        <w:bottom w:val="none" w:sz="0" w:space="0" w:color="auto"/>
        <w:right w:val="none" w:sz="0" w:space="0" w:color="auto"/>
      </w:divBdr>
    </w:div>
    <w:div w:id="1690717246">
      <w:bodyDiv w:val="1"/>
      <w:marLeft w:val="0"/>
      <w:marRight w:val="0"/>
      <w:marTop w:val="0"/>
      <w:marBottom w:val="0"/>
      <w:divBdr>
        <w:top w:val="none" w:sz="0" w:space="0" w:color="auto"/>
        <w:left w:val="none" w:sz="0" w:space="0" w:color="auto"/>
        <w:bottom w:val="none" w:sz="0" w:space="0" w:color="auto"/>
        <w:right w:val="none" w:sz="0" w:space="0" w:color="auto"/>
      </w:divBdr>
    </w:div>
    <w:div w:id="1936815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5.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image" Target="media/image2.gif"/><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3" Type="http://schemas.openxmlformats.org/officeDocument/2006/relationships/oleObject" Target="../embeddings/oleObject1.bin"/><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embeddings/oleObject2.bin"/><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embeddings/oleObject3.bin"/><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embeddings/oleObject4.bin"/><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chartUserShapes" Target="../drawings/drawing1.xml"/></Relationships>
</file>

<file path=word/charts/_rels/chart5.xml.rels><?xml version="1.0" encoding="UTF-8" standalone="yes"?>
<Relationships xmlns="http://schemas.openxmlformats.org/package/2006/relationships"><Relationship Id="rId3" Type="http://schemas.openxmlformats.org/officeDocument/2006/relationships/oleObject" Target="../embeddings/oleObject5.bin"/><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embeddings/oleObject6.bin"/><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sz="2000">
                <a:latin typeface="Arial" panose="020B0604020202020204" pitchFamily="34" charset="0"/>
                <a:cs typeface="Arial" panose="020B0604020202020204" pitchFamily="34" charset="0"/>
              </a:rPr>
              <a:t>Quarterly Median Sold Price </a:t>
            </a:r>
          </a:p>
          <a:p>
            <a:pPr>
              <a:defRPr/>
            </a:pPr>
            <a:r>
              <a:rPr lang="en-US" sz="2000">
                <a:latin typeface="Arial" panose="020B0604020202020204" pitchFamily="34" charset="0"/>
                <a:cs typeface="Arial" panose="020B0604020202020204" pitchFamily="34" charset="0"/>
              </a:rPr>
              <a:t>Residences in Sequim  </a:t>
            </a:r>
          </a:p>
          <a:p>
            <a:pPr>
              <a:defRPr/>
            </a:pPr>
            <a:r>
              <a:rPr lang="en-US" sz="2000">
                <a:latin typeface="Arial" panose="020B0604020202020204" pitchFamily="34" charset="0"/>
                <a:cs typeface="Arial" panose="020B0604020202020204" pitchFamily="34" charset="0"/>
              </a:rPr>
              <a:t>2005 - 2022</a:t>
            </a:r>
          </a:p>
        </c:rich>
      </c:tx>
      <c:layout>
        <c:manualLayout>
          <c:xMode val="edge"/>
          <c:yMode val="edge"/>
          <c:x val="0.19488808214074432"/>
          <c:y val="0.16101290366230375"/>
        </c:manualLayout>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manualLayout>
          <c:layoutTarget val="inner"/>
          <c:xMode val="edge"/>
          <c:yMode val="edge"/>
          <c:x val="4.6241448623706355E-2"/>
          <c:y val="0.10274679206921922"/>
          <c:w val="0.93229744728080965"/>
          <c:h val="0.79196413661995368"/>
        </c:manualLayout>
      </c:layout>
      <c:barChart>
        <c:barDir val="col"/>
        <c:grouping val="clustered"/>
        <c:varyColors val="0"/>
        <c:ser>
          <c:idx val="0"/>
          <c:order val="0"/>
          <c:tx>
            <c:v>Sold Price</c:v>
          </c:tx>
          <c:spPr>
            <a:solidFill>
              <a:schemeClr val="accent5">
                <a:alpha val="85000"/>
              </a:schemeClr>
            </a:solidFill>
            <a:ln w="9525" cap="flat" cmpd="sng" algn="ctr">
              <a:solidFill>
                <a:schemeClr val="lt1">
                  <a:alpha val="50000"/>
                </a:schemeClr>
              </a:solidFill>
              <a:round/>
            </a:ln>
            <a:effectLst/>
          </c:spPr>
          <c:invertIfNegative val="0"/>
          <c:dLbls>
            <c:dLbl>
              <c:idx val="0"/>
              <c:layout>
                <c:manualLayout>
                  <c:x val="-6.78118063613402E-18"/>
                  <c:y val="1.3399871365893806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5B3A-43C1-9DE2-1D1B8C8D200F}"/>
                </c:ext>
              </c:extLst>
            </c:dLbl>
            <c:dLbl>
              <c:idx val="1"/>
              <c:layout>
                <c:manualLayout>
                  <c:x val="-6.78118063613402E-18"/>
                  <c:y val="2.5233524000708319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B3A-43C1-9DE2-1D1B8C8D200F}"/>
                </c:ext>
              </c:extLst>
            </c:dLbl>
            <c:dLbl>
              <c:idx val="2"/>
              <c:layout>
                <c:manualLayout>
                  <c:x val="-1.356236127226804E-17"/>
                  <c:y val="4.6986561932354899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5B3A-43C1-9DE2-1D1B8C8D200F}"/>
                </c:ext>
              </c:extLst>
            </c:dLbl>
            <c:dLbl>
              <c:idx val="3"/>
              <c:layout>
                <c:manualLayout>
                  <c:x val="0"/>
                  <c:y val="4.6986561932354102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5B3A-43C1-9DE2-1D1B8C8D200F}"/>
                </c:ext>
              </c:extLst>
            </c:dLbl>
            <c:dLbl>
              <c:idx val="4"/>
              <c:layout>
                <c:manualLayout>
                  <c:x val="-1.356236127226804E-17"/>
                  <c:y val="9.0492637795647271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5B3A-43C1-9DE2-1D1B8C8D200F}"/>
                </c:ext>
              </c:extLst>
            </c:dLbl>
            <c:dLbl>
              <c:idx val="5"/>
              <c:layout>
                <c:manualLayout>
                  <c:x val="0"/>
                  <c:y val="6.8739599864001489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5B3A-43C1-9DE2-1D1B8C8D200F}"/>
                </c:ext>
              </c:extLst>
            </c:dLbl>
            <c:dLbl>
              <c:idx val="6"/>
              <c:layout>
                <c:manualLayout>
                  <c:x val="0"/>
                  <c:y val="6.8739599864000691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5B3A-43C1-9DE2-1D1B8C8D200F}"/>
                </c:ext>
              </c:extLst>
            </c:dLbl>
            <c:dLbl>
              <c:idx val="7"/>
              <c:layout>
                <c:manualLayout>
                  <c:x val="0"/>
                  <c:y val="6.8739599863999893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5B3A-43C1-9DE2-1D1B8C8D200F}"/>
                </c:ext>
              </c:extLst>
            </c:dLbl>
            <c:dLbl>
              <c:idx val="8"/>
              <c:layout>
                <c:manualLayout>
                  <c:x val="0"/>
                  <c:y val="9.0492637795645675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5B3A-43C1-9DE2-1D1B8C8D200F}"/>
                </c:ext>
              </c:extLst>
            </c:dLbl>
            <c:dLbl>
              <c:idx val="9"/>
              <c:layout>
                <c:manualLayout>
                  <c:x val="0"/>
                  <c:y val="1.1224567572729226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5B3A-43C1-9DE2-1D1B8C8D200F}"/>
                </c:ext>
              </c:extLst>
            </c:dLbl>
            <c:dLbl>
              <c:idx val="10"/>
              <c:layout>
                <c:manualLayout>
                  <c:x val="-2.712472254453608E-17"/>
                  <c:y val="6.8739599864001489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5B3A-43C1-9DE2-1D1B8C8D200F}"/>
                </c:ext>
              </c:extLst>
            </c:dLbl>
            <c:dLbl>
              <c:idx val="11"/>
              <c:layout>
                <c:manualLayout>
                  <c:x val="2.712472254453608E-17"/>
                  <c:y val="6.8739599864000691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5B3A-43C1-9DE2-1D1B8C8D200F}"/>
                </c:ext>
              </c:extLst>
            </c:dLbl>
            <c:dLbl>
              <c:idx val="12"/>
              <c:layout>
                <c:manualLayout>
                  <c:x val="-2.712472254453608E-17"/>
                  <c:y val="6.8739599864000691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5B3A-43C1-9DE2-1D1B8C8D200F}"/>
                </c:ext>
              </c:extLst>
            </c:dLbl>
            <c:dLbl>
              <c:idx val="13"/>
              <c:layout>
                <c:manualLayout>
                  <c:x val="2.712472254453608E-17"/>
                  <c:y val="6.8739599864000691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5B3A-43C1-9DE2-1D1B8C8D200F}"/>
                </c:ext>
              </c:extLst>
            </c:dLbl>
            <c:dLbl>
              <c:idx val="14"/>
              <c:layout>
                <c:manualLayout>
                  <c:x val="-2.712472254453608E-17"/>
                  <c:y val="6.8739599864000691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5B3A-43C1-9DE2-1D1B8C8D200F}"/>
                </c:ext>
              </c:extLst>
            </c:dLbl>
            <c:dLbl>
              <c:idx val="15"/>
              <c:layout>
                <c:manualLayout>
                  <c:x val="0"/>
                  <c:y val="4.6986561932354899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5B3A-43C1-9DE2-1D1B8C8D200F}"/>
                </c:ext>
              </c:extLst>
            </c:dLbl>
            <c:dLbl>
              <c:idx val="16"/>
              <c:layout>
                <c:manualLayout>
                  <c:x val="0"/>
                  <c:y val="9.0492637795646473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5B3A-43C1-9DE2-1D1B8C8D200F}"/>
                </c:ext>
              </c:extLst>
            </c:dLbl>
            <c:dLbl>
              <c:idx val="17"/>
              <c:layout>
                <c:manualLayout>
                  <c:x val="0"/>
                  <c:y val="2.5233524000709113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5B3A-43C1-9DE2-1D1B8C8D200F}"/>
                </c:ext>
              </c:extLst>
            </c:dLbl>
            <c:dLbl>
              <c:idx val="18"/>
              <c:layout>
                <c:manualLayout>
                  <c:x val="-5.424944508907216E-17"/>
                  <c:y val="2.5233524000709113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5B3A-43C1-9DE2-1D1B8C8D200F}"/>
                </c:ext>
              </c:extLst>
            </c:dLbl>
            <c:dLbl>
              <c:idx val="19"/>
              <c:layout>
                <c:manualLayout>
                  <c:x val="-5.424944508907216E-17"/>
                  <c:y val="4.6986561932354899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5B3A-43C1-9DE2-1D1B8C8D200F}"/>
                </c:ext>
              </c:extLst>
            </c:dLbl>
            <c:dLbl>
              <c:idx val="20"/>
              <c:layout>
                <c:manualLayout>
                  <c:x val="0"/>
                  <c:y val="4.6986561932354102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5B3A-43C1-9DE2-1D1B8C8D200F}"/>
                </c:ext>
              </c:extLst>
            </c:dLbl>
            <c:dLbl>
              <c:idx val="21"/>
              <c:layout>
                <c:manualLayout>
                  <c:x val="0"/>
                  <c:y val="4.6986561932354102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5B3A-43C1-9DE2-1D1B8C8D200F}"/>
                </c:ext>
              </c:extLst>
            </c:dLbl>
            <c:dLbl>
              <c:idx val="22"/>
              <c:layout>
                <c:manualLayout>
                  <c:x val="-5.424944508907216E-17"/>
                  <c:y val="4.6986561932354899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5B3A-43C1-9DE2-1D1B8C8D200F}"/>
                </c:ext>
              </c:extLst>
            </c:dLbl>
            <c:dLbl>
              <c:idx val="23"/>
              <c:layout>
                <c:manualLayout>
                  <c:x val="-5.424944508907216E-17"/>
                  <c:y val="1.1224567572729226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5B3A-43C1-9DE2-1D1B8C8D200F}"/>
                </c:ext>
              </c:extLst>
            </c:dLbl>
            <c:dLbl>
              <c:idx val="24"/>
              <c:layout>
                <c:manualLayout>
                  <c:x val="0"/>
                  <c:y val="6.8739599864000691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5B3A-43C1-9DE2-1D1B8C8D200F}"/>
                </c:ext>
              </c:extLst>
            </c:dLbl>
            <c:dLbl>
              <c:idx val="25"/>
              <c:layout>
                <c:manualLayout>
                  <c:x val="5.424944508907216E-17"/>
                  <c:y val="4.6986561932354899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5B3A-43C1-9DE2-1D1B8C8D200F}"/>
                </c:ext>
              </c:extLst>
            </c:dLbl>
            <c:dLbl>
              <c:idx val="26"/>
              <c:layout>
                <c:manualLayout>
                  <c:x val="-5.424944508907216E-17"/>
                  <c:y val="4.6986561932354899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A-5B3A-43C1-9DE2-1D1B8C8D200F}"/>
                </c:ext>
              </c:extLst>
            </c:dLbl>
            <c:dLbl>
              <c:idx val="27"/>
              <c:layout>
                <c:manualLayout>
                  <c:x val="0"/>
                  <c:y val="9.0492637795646473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B-5B3A-43C1-9DE2-1D1B8C8D200F}"/>
                </c:ext>
              </c:extLst>
            </c:dLbl>
            <c:dLbl>
              <c:idx val="28"/>
              <c:layout>
                <c:manualLayout>
                  <c:x val="-5.424944508907216E-17"/>
                  <c:y val="4.6986561932354102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C-5B3A-43C1-9DE2-1D1B8C8D200F}"/>
                </c:ext>
              </c:extLst>
            </c:dLbl>
            <c:dLbl>
              <c:idx val="29"/>
              <c:layout>
                <c:manualLayout>
                  <c:x val="-5.424944508907216E-17"/>
                  <c:y val="4.6986561932354899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D-5B3A-43C1-9DE2-1D1B8C8D200F}"/>
                </c:ext>
              </c:extLst>
            </c:dLbl>
            <c:dLbl>
              <c:idx val="30"/>
              <c:layout>
                <c:manualLayout>
                  <c:x val="0"/>
                  <c:y val="4.6986561932354102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E-5B3A-43C1-9DE2-1D1B8C8D200F}"/>
                </c:ext>
              </c:extLst>
            </c:dLbl>
            <c:dLbl>
              <c:idx val="31"/>
              <c:layout>
                <c:manualLayout>
                  <c:x val="0"/>
                  <c:y val="6.8739599864000691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F-5B3A-43C1-9DE2-1D1B8C8D200F}"/>
                </c:ext>
              </c:extLst>
            </c:dLbl>
            <c:dLbl>
              <c:idx val="32"/>
              <c:layout>
                <c:manualLayout>
                  <c:x val="-5.424944508907216E-17"/>
                  <c:y val="6.8739599864000691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0-5B3A-43C1-9DE2-1D1B8C8D200F}"/>
                </c:ext>
              </c:extLst>
            </c:dLbl>
            <c:dLbl>
              <c:idx val="33"/>
              <c:layout>
                <c:manualLayout>
                  <c:x val="0"/>
                  <c:y val="4.6986561932354102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1-5B3A-43C1-9DE2-1D1B8C8D200F}"/>
                </c:ext>
              </c:extLst>
            </c:dLbl>
            <c:dLbl>
              <c:idx val="34"/>
              <c:layout>
                <c:manualLayout>
                  <c:x val="0"/>
                  <c:y val="2.5233524000709113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2-5B3A-43C1-9DE2-1D1B8C8D200F}"/>
                </c:ext>
              </c:extLst>
            </c:dLbl>
            <c:dLbl>
              <c:idx val="35"/>
              <c:layout>
                <c:manualLayout>
                  <c:x val="0"/>
                  <c:y val="6.8739599863999893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3-5B3A-43C1-9DE2-1D1B8C8D200F}"/>
                </c:ext>
              </c:extLst>
            </c:dLbl>
            <c:dLbl>
              <c:idx val="36"/>
              <c:layout>
                <c:manualLayout>
                  <c:x val="0"/>
                  <c:y val="1.1224567572729226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4-5B3A-43C1-9DE2-1D1B8C8D200F}"/>
                </c:ext>
              </c:extLst>
            </c:dLbl>
            <c:dLbl>
              <c:idx val="37"/>
              <c:layout>
                <c:manualLayout>
                  <c:x val="-1.0849889017814432E-16"/>
                  <c:y val="6.8739599864000691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5-5B3A-43C1-9DE2-1D1B8C8D200F}"/>
                </c:ext>
              </c:extLst>
            </c:dLbl>
            <c:dLbl>
              <c:idx val="38"/>
              <c:layout>
                <c:manualLayout>
                  <c:x val="0"/>
                  <c:y val="2.5233524000708319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6-5B3A-43C1-9DE2-1D1B8C8D200F}"/>
                </c:ext>
              </c:extLst>
            </c:dLbl>
            <c:dLbl>
              <c:idx val="39"/>
              <c:layout>
                <c:manualLayout>
                  <c:x val="-1.0849889017814432E-16"/>
                  <c:y val="1.1224567572729226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7-5B3A-43C1-9DE2-1D1B8C8D200F}"/>
                </c:ext>
              </c:extLst>
            </c:dLbl>
            <c:dLbl>
              <c:idx val="40"/>
              <c:layout>
                <c:manualLayout>
                  <c:x val="-1.0849889017814432E-16"/>
                  <c:y val="4.6986561932354102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8-5B3A-43C1-9DE2-1D1B8C8D200F}"/>
                </c:ext>
              </c:extLst>
            </c:dLbl>
            <c:dLbl>
              <c:idx val="41"/>
              <c:layout>
                <c:manualLayout>
                  <c:x val="0"/>
                  <c:y val="4.6986561932354899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9-5B3A-43C1-9DE2-1D1B8C8D200F}"/>
                </c:ext>
              </c:extLst>
            </c:dLbl>
            <c:dLbl>
              <c:idx val="42"/>
              <c:layout>
                <c:manualLayout>
                  <c:x val="0"/>
                  <c:y val="2.5233524000709113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A-5B3A-43C1-9DE2-1D1B8C8D200F}"/>
                </c:ext>
              </c:extLst>
            </c:dLbl>
            <c:dLbl>
              <c:idx val="43"/>
              <c:layout>
                <c:manualLayout>
                  <c:x val="0"/>
                  <c:y val="6.8739599864001489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B-5B3A-43C1-9DE2-1D1B8C8D200F}"/>
                </c:ext>
              </c:extLst>
            </c:dLbl>
            <c:dLbl>
              <c:idx val="44"/>
              <c:layout>
                <c:manualLayout>
                  <c:x val="0"/>
                  <c:y val="1.1224567572729147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C-5B3A-43C1-9DE2-1D1B8C8D200F}"/>
                </c:ext>
              </c:extLst>
            </c:dLbl>
            <c:dLbl>
              <c:idx val="45"/>
              <c:layout>
                <c:manualLayout>
                  <c:x val="0"/>
                  <c:y val="6.8739599863999893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D-5B3A-43C1-9DE2-1D1B8C8D200F}"/>
                </c:ext>
              </c:extLst>
            </c:dLbl>
            <c:dLbl>
              <c:idx val="46"/>
              <c:layout>
                <c:manualLayout>
                  <c:x val="0"/>
                  <c:y val="6.8739599863999893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E-5B3A-43C1-9DE2-1D1B8C8D200F}"/>
                </c:ext>
              </c:extLst>
            </c:dLbl>
            <c:dLbl>
              <c:idx val="47"/>
              <c:layout>
                <c:manualLayout>
                  <c:x val="1.4795474122715759E-3"/>
                  <c:y val="6.8739599864000691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F-5B3A-43C1-9DE2-1D1B8C8D200F}"/>
                </c:ext>
              </c:extLst>
            </c:dLbl>
            <c:dLbl>
              <c:idx val="48"/>
              <c:layout>
                <c:manualLayout>
                  <c:x val="-1.0849889017814432E-16"/>
                  <c:y val="9.0492637795645675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0-5B3A-43C1-9DE2-1D1B8C8D200F}"/>
                </c:ext>
              </c:extLst>
            </c:dLbl>
            <c:dLbl>
              <c:idx val="49"/>
              <c:layout>
                <c:manualLayout>
                  <c:x val="0"/>
                  <c:y val="9.0492637795645675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1-5B3A-43C1-9DE2-1D1B8C8D200F}"/>
                </c:ext>
              </c:extLst>
            </c:dLbl>
            <c:dLbl>
              <c:idx val="50"/>
              <c:layout>
                <c:manualLayout>
                  <c:x val="-1.0849889017814432E-16"/>
                  <c:y val="4.6986561932354102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2-5B3A-43C1-9DE2-1D1B8C8D200F}"/>
                </c:ext>
              </c:extLst>
            </c:dLbl>
            <c:dLbl>
              <c:idx val="51"/>
              <c:layout>
                <c:manualLayout>
                  <c:x val="0"/>
                  <c:y val="9.0492637795646473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3-5B3A-43C1-9DE2-1D1B8C8D200F}"/>
                </c:ext>
              </c:extLst>
            </c:dLbl>
            <c:dLbl>
              <c:idx val="52"/>
              <c:layout>
                <c:manualLayout>
                  <c:x val="0"/>
                  <c:y val="6.8739599864000691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4-5B3A-43C1-9DE2-1D1B8C8D200F}"/>
                </c:ext>
              </c:extLst>
            </c:dLbl>
            <c:dLbl>
              <c:idx val="53"/>
              <c:layout>
                <c:manualLayout>
                  <c:x val="0"/>
                  <c:y val="1.1224567572729226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5-5B3A-43C1-9DE2-1D1B8C8D200F}"/>
                </c:ext>
              </c:extLst>
            </c:dLbl>
            <c:dLbl>
              <c:idx val="54"/>
              <c:layout>
                <c:manualLayout>
                  <c:x val="0"/>
                  <c:y val="4.6986561932354102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6-5B3A-43C1-9DE2-1D1B8C8D200F}"/>
                </c:ext>
              </c:extLst>
            </c:dLbl>
            <c:dLbl>
              <c:idx val="55"/>
              <c:layout>
                <c:manualLayout>
                  <c:x val="0"/>
                  <c:y val="4.6986561932354899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7-5B3A-43C1-9DE2-1D1B8C8D200F}"/>
                </c:ext>
              </c:extLst>
            </c:dLbl>
            <c:dLbl>
              <c:idx val="56"/>
              <c:layout>
                <c:manualLayout>
                  <c:x val="0"/>
                  <c:y val="9.0492637795645675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8-5B3A-43C1-9DE2-1D1B8C8D200F}"/>
                </c:ext>
              </c:extLst>
            </c:dLbl>
            <c:dLbl>
              <c:idx val="57"/>
              <c:layout>
                <c:manualLayout>
                  <c:x val="-1.0849889017814432E-16"/>
                  <c:y val="9.0492637795646473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9-5B3A-43C1-9DE2-1D1B8C8D200F}"/>
                </c:ext>
              </c:extLst>
            </c:dLbl>
            <c:dLbl>
              <c:idx val="58"/>
              <c:layout>
                <c:manualLayout>
                  <c:x val="-1.0849889017814432E-16"/>
                  <c:y val="6.8739599863999893E-3"/>
                </c:manualLayout>
              </c:layout>
              <c:tx>
                <c:rich>
                  <a:bodyPr/>
                  <a:lstStyle/>
                  <a:p>
                    <a:r>
                      <a:rPr lang="en-US"/>
                      <a:t>$359K</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3A-5B3A-43C1-9DE2-1D1B8C8D200F}"/>
                </c:ext>
              </c:extLst>
            </c:dLbl>
            <c:dLbl>
              <c:idx val="59"/>
              <c:layout>
                <c:manualLayout>
                  <c:x val="0"/>
                  <c:y val="9.0492637795646473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B-5B3A-43C1-9DE2-1D1B8C8D200F}"/>
                </c:ext>
              </c:extLst>
            </c:dLbl>
            <c:dLbl>
              <c:idx val="60"/>
              <c:layout>
                <c:manualLayout>
                  <c:x val="-1.0849889017814432E-16"/>
                  <c:y val="2.5233524000708319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C-5B3A-43C1-9DE2-1D1B8C8D200F}"/>
                </c:ext>
              </c:extLst>
            </c:dLbl>
            <c:dLbl>
              <c:idx val="61"/>
              <c:layout>
                <c:manualLayout>
                  <c:x val="1.0849889017814432E-16"/>
                  <c:y val="2.5233524000709113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D-5B3A-43C1-9DE2-1D1B8C8D200F}"/>
                </c:ext>
              </c:extLst>
            </c:dLbl>
            <c:dLbl>
              <c:idx val="62"/>
              <c:layout>
                <c:manualLayout>
                  <c:x val="-2.1699778035628864E-16"/>
                  <c:y val="2.5233524000708718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E-5B3A-43C1-9DE2-1D1B8C8D200F}"/>
                </c:ext>
              </c:extLst>
            </c:dLbl>
            <c:dLbl>
              <c:idx val="63"/>
              <c:layout>
                <c:manualLayout>
                  <c:x val="-1.0849889017814432E-16"/>
                  <c:y val="9.0492637795646473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F-5B3A-43C1-9DE2-1D1B8C8D200F}"/>
                </c:ext>
              </c:extLst>
            </c:dLbl>
            <c:dLbl>
              <c:idx val="64"/>
              <c:layout>
                <c:manualLayout>
                  <c:x val="-1.0849889017814432E-16"/>
                  <c:y val="9.0492637795646074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40-5B3A-43C1-9DE2-1D1B8C8D200F}"/>
                </c:ext>
              </c:extLst>
            </c:dLbl>
            <c:dLbl>
              <c:idx val="65"/>
              <c:layout>
                <c:manualLayout>
                  <c:x val="-1.4795474122715759E-3"/>
                  <c:y val="-4.600853164424705E-3"/>
                </c:manualLayout>
              </c:layout>
              <c:tx>
                <c:rich>
                  <a:bodyPr rot="-5400000" spcFirstLastPara="1" vertOverflow="ellipsis" wrap="square" lIns="38100" tIns="19050" rIns="38100" bIns="19050" anchor="ctr" anchorCtr="1">
                    <a:spAutoFit/>
                  </a:bodyPr>
                  <a:lstStyle/>
                  <a:p>
                    <a:pPr>
                      <a:defRPr sz="1200" b="1" i="0" u="none" strike="noStrike" kern="1200" baseline="0">
                        <a:solidFill>
                          <a:sysClr val="windowText" lastClr="000000"/>
                        </a:solidFill>
                        <a:latin typeface="+mn-lt"/>
                        <a:ea typeface="+mn-ea"/>
                        <a:cs typeface="+mn-cs"/>
                      </a:defRPr>
                    </a:pPr>
                    <a:fld id="{351F0466-68A7-46A7-B86F-C564594639B7}" type="VALUE">
                      <a:rPr lang="en-US" sz="1000"/>
                      <a:pPr>
                        <a:defRPr sz="1200">
                          <a:solidFill>
                            <a:sysClr val="windowText" lastClr="000000"/>
                          </a:solidFill>
                        </a:defRPr>
                      </a:pPr>
                      <a:t>[VALUE]</a:t>
                    </a:fld>
                    <a:endParaRPr lang="en-US"/>
                  </a:p>
                </c:rich>
              </c:tx>
              <c:numFmt formatCode="&quot;$&quot;###\K" sourceLinked="0"/>
              <c:spPr>
                <a:noFill/>
                <a:ln>
                  <a:noFill/>
                </a:ln>
                <a:effectLst/>
              </c:spPr>
              <c:txPr>
                <a:bodyPr rot="-5400000" spcFirstLastPara="1" vertOverflow="ellipsis" wrap="square" lIns="38100" tIns="19050" rIns="38100" bIns="19050" anchor="ctr" anchorCtr="1">
                  <a:spAutoFit/>
                </a:bodyPr>
                <a:lstStyle/>
                <a:p>
                  <a:pPr>
                    <a:defRPr sz="1200" b="1" i="0" u="none" strike="noStrike" kern="1200" baseline="0">
                      <a:solidFill>
                        <a:sysClr val="windowText" lastClr="000000"/>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41-5B3A-43C1-9DE2-1D1B8C8D200F}"/>
                </c:ext>
              </c:extLst>
            </c:dLbl>
            <c:dLbl>
              <c:idx val="66"/>
              <c:layout>
                <c:manualLayout>
                  <c:x val="0"/>
                  <c:y val="6.2756658013982296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42-5B3A-43C1-9DE2-1D1B8C8D200F}"/>
                </c:ext>
              </c:extLst>
            </c:dLbl>
            <c:dLbl>
              <c:idx val="67"/>
              <c:layout>
                <c:manualLayout>
                  <c:x val="0"/>
                  <c:y val="1.9250582150690317E-3"/>
                </c:manualLayout>
              </c:layout>
              <c:numFmt formatCode="&quot;$&quot;###\K" sourceLinked="0"/>
              <c:spPr>
                <a:noFill/>
                <a:ln>
                  <a:noFill/>
                </a:ln>
                <a:effectLst/>
              </c:spPr>
              <c:txPr>
                <a:bodyPr rot="-5400000" spcFirstLastPara="1" vertOverflow="ellipsis" wrap="square" lIns="38100" tIns="19050" rIns="38100" bIns="19050" anchor="ctr" anchorCtr="1">
                  <a:spAutoFit/>
                </a:bodyPr>
                <a:lstStyle/>
                <a:p>
                  <a:pPr>
                    <a:defRPr sz="1000" b="1" i="0" u="none" strike="noStrike" kern="1200" baseline="0">
                      <a:solidFill>
                        <a:sysClr val="windowText" lastClr="000000"/>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43-5B3A-43C1-9DE2-1D1B8C8D200F}"/>
                </c:ext>
              </c:extLst>
            </c:dLbl>
            <c:dLbl>
              <c:idx val="68"/>
              <c:layout>
                <c:manualLayout>
                  <c:x val="0"/>
                  <c:y val="1.2801577180891905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44-5B3A-43C1-9DE2-1D1B8C8D200F}"/>
                </c:ext>
              </c:extLst>
            </c:dLbl>
            <c:dLbl>
              <c:idx val="69"/>
              <c:layout>
                <c:manualLayout>
                  <c:x val="-1.0849889017814432E-16"/>
                  <c:y val="-2.4255493712601259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45-5B3A-43C1-9DE2-1D1B8C8D200F}"/>
                </c:ext>
              </c:extLst>
            </c:dLbl>
            <c:dLbl>
              <c:idx val="70"/>
              <c:layout>
                <c:manualLayout>
                  <c:x val="-1.0849889017814432E-16"/>
                  <c:y val="-2.5024557809556714E-4"/>
                </c:manualLayout>
              </c:layout>
              <c:numFmt formatCode="&quot;$&quot;###\K" sourceLinked="0"/>
              <c:spPr>
                <a:noFill/>
                <a:ln>
                  <a:noFill/>
                </a:ln>
                <a:effectLst/>
              </c:spPr>
              <c:txPr>
                <a:bodyPr rot="-5400000" spcFirstLastPara="1" vertOverflow="ellipsis" wrap="square" lIns="38100" tIns="19050" rIns="38100" bIns="19050" anchor="ctr" anchorCtr="1">
                  <a:spAutoFit/>
                </a:bodyPr>
                <a:lstStyle/>
                <a:p>
                  <a:pPr>
                    <a:defRPr sz="1200" b="1" i="0" u="none" strike="noStrike" kern="1200" baseline="0">
                      <a:solidFill>
                        <a:sysClr val="windowText" lastClr="000000"/>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46-5B3A-43C1-9DE2-1D1B8C8D200F}"/>
                </c:ext>
              </c:extLst>
            </c:dLbl>
            <c:numFmt formatCode="&quot;$&quot;###\K" sourceLinked="0"/>
            <c:spPr>
              <a:noFill/>
              <a:ln>
                <a:noFill/>
              </a:ln>
              <a:effectLst/>
            </c:spPr>
            <c:txPr>
              <a:bodyPr rot="-5400000" spcFirstLastPara="1" vertOverflow="ellipsis"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'[3rd Qtr 2022.xlsx]Qtr &amp; Yrly Sheet'!$F$10:$F$54,'[3rd Qtr 2022.xlsx]Qtr &amp; Yrly Sheet'!$F$55,'[3rd Qtr 2022.xlsx]Qtr &amp; Yrly Sheet'!$F$56,'[3rd Qtr 2022.xlsx]Qtr &amp; Yrly Sheet'!$F$57,'[3rd Qtr 2022.xlsx]Qtr &amp; Yrly Sheet'!$F$58,'[3rd Qtr 2022.xlsx]Qtr &amp; Yrly Sheet'!$F$59,'[3rd Qtr 2022.xlsx]Qtr &amp; Yrly Sheet'!$F$60:$F$61,'[3rd Qtr 2022.xlsx]Qtr &amp; Yrly Sheet'!$F$62,'[3rd Qtr 2022.xlsx]Qtr &amp; Yrly Sheet'!$F$63,'[3rd Qtr 2022.xlsx]Qtr &amp; Yrly Sheet'!$F$64,'[3rd Qtr 2022.xlsx]Qtr &amp; Yrly Sheet'!$F$65,'[3rd Qtr 2022.xlsx]Qtr &amp; Yrly Sheet'!$F$66,'[3rd Qtr 2022.xlsx]Qtr &amp; Yrly Sheet'!$F$67,'[3rd Qtr 2022.xlsx]Qtr &amp; Yrly Sheet'!$F$68,'[3rd Qtr 2022.xlsx]Qtr &amp; Yrly Sheet'!$F$69,'[3rd Qtr 2022.xlsx]Qtr &amp; Yrly Sheet'!$F$70,'[3rd Qtr 2022.xlsx]Qtr &amp; Yrly Sheet'!$F$71,'[3rd Qtr 2022.xlsx]Qtr &amp; Yrly Sheet'!$F$72,'[3rd Qtr 2022.xlsx]Qtr &amp; Yrly Sheet'!$F$73,'[3rd Qtr 2022.xlsx]Qtr &amp; Yrly Sheet'!$F$74,'[3rd Qtr 2022.xlsx]Qtr &amp; Yrly Sheet'!$F$75,'[3rd Qtr 2022.xlsx]Qtr &amp; Yrly Sheet'!$F$76,'[3rd Qtr 2022.xlsx]Qtr &amp; Yrly Sheet'!$F$77,'[3rd Qtr 2022.xlsx]Qtr &amp; Yrly Sheet'!$F$78,'[3rd Qtr 2022.xlsx]Qtr &amp; Yrly Sheet'!$F$79,'[3rd Qtr 2022.xlsx]Qtr &amp; Yrly Sheet'!$F$80</c:f>
              <c:strCache>
                <c:ptCount val="71"/>
                <c:pt idx="0">
                  <c:v>2005-1</c:v>
                </c:pt>
                <c:pt idx="1">
                  <c:v>2005-2</c:v>
                </c:pt>
                <c:pt idx="2">
                  <c:v>2005-3</c:v>
                </c:pt>
                <c:pt idx="3">
                  <c:v>2005-4</c:v>
                </c:pt>
                <c:pt idx="4">
                  <c:v>2006-1</c:v>
                </c:pt>
                <c:pt idx="5">
                  <c:v>2006-2</c:v>
                </c:pt>
                <c:pt idx="6">
                  <c:v>2006-3</c:v>
                </c:pt>
                <c:pt idx="7">
                  <c:v>2006-4</c:v>
                </c:pt>
                <c:pt idx="8">
                  <c:v>2007-1</c:v>
                </c:pt>
                <c:pt idx="9">
                  <c:v>2007-2</c:v>
                </c:pt>
                <c:pt idx="10">
                  <c:v>2007-3</c:v>
                </c:pt>
                <c:pt idx="11">
                  <c:v>2007-4</c:v>
                </c:pt>
                <c:pt idx="12">
                  <c:v>2008-1</c:v>
                </c:pt>
                <c:pt idx="13">
                  <c:v>2008-2</c:v>
                </c:pt>
                <c:pt idx="14">
                  <c:v>2008-3</c:v>
                </c:pt>
                <c:pt idx="15">
                  <c:v>2008-4</c:v>
                </c:pt>
                <c:pt idx="16">
                  <c:v>2009-1</c:v>
                </c:pt>
                <c:pt idx="17">
                  <c:v>2009-2</c:v>
                </c:pt>
                <c:pt idx="18">
                  <c:v>2009-3</c:v>
                </c:pt>
                <c:pt idx="19">
                  <c:v>2009-4</c:v>
                </c:pt>
                <c:pt idx="20">
                  <c:v>2010-1</c:v>
                </c:pt>
                <c:pt idx="21">
                  <c:v>2010-2</c:v>
                </c:pt>
                <c:pt idx="22">
                  <c:v>2010-3</c:v>
                </c:pt>
                <c:pt idx="23">
                  <c:v>2010-4</c:v>
                </c:pt>
                <c:pt idx="24">
                  <c:v>2011-1</c:v>
                </c:pt>
                <c:pt idx="25">
                  <c:v>2011-2</c:v>
                </c:pt>
                <c:pt idx="26">
                  <c:v>2011-3</c:v>
                </c:pt>
                <c:pt idx="27">
                  <c:v>2011-4</c:v>
                </c:pt>
                <c:pt idx="28">
                  <c:v>2012-1</c:v>
                </c:pt>
                <c:pt idx="29">
                  <c:v>2012-2</c:v>
                </c:pt>
                <c:pt idx="30">
                  <c:v>2012-3</c:v>
                </c:pt>
                <c:pt idx="31">
                  <c:v>2012-4</c:v>
                </c:pt>
                <c:pt idx="32">
                  <c:v>2013-1</c:v>
                </c:pt>
                <c:pt idx="33">
                  <c:v>2013-2</c:v>
                </c:pt>
                <c:pt idx="34">
                  <c:v>2013-3</c:v>
                </c:pt>
                <c:pt idx="35">
                  <c:v>2013-4</c:v>
                </c:pt>
                <c:pt idx="36">
                  <c:v>2014-1</c:v>
                </c:pt>
                <c:pt idx="37">
                  <c:v>2014-2</c:v>
                </c:pt>
                <c:pt idx="38">
                  <c:v>2014-3</c:v>
                </c:pt>
                <c:pt idx="39">
                  <c:v>2014-4</c:v>
                </c:pt>
                <c:pt idx="40">
                  <c:v>2015-1</c:v>
                </c:pt>
                <c:pt idx="41">
                  <c:v>2015-2</c:v>
                </c:pt>
                <c:pt idx="42">
                  <c:v>2015-3</c:v>
                </c:pt>
                <c:pt idx="43">
                  <c:v>2015-4</c:v>
                </c:pt>
                <c:pt idx="44">
                  <c:v>2016-1</c:v>
                </c:pt>
                <c:pt idx="45">
                  <c:v>2016-2</c:v>
                </c:pt>
                <c:pt idx="46">
                  <c:v>2016-3</c:v>
                </c:pt>
                <c:pt idx="47">
                  <c:v>2016-4</c:v>
                </c:pt>
                <c:pt idx="48">
                  <c:v>2017-1</c:v>
                </c:pt>
                <c:pt idx="49">
                  <c:v>2017-2</c:v>
                </c:pt>
                <c:pt idx="50">
                  <c:v>2017-3</c:v>
                </c:pt>
                <c:pt idx="51">
                  <c:v>2017-4</c:v>
                </c:pt>
                <c:pt idx="52">
                  <c:v>2018-1</c:v>
                </c:pt>
                <c:pt idx="53">
                  <c:v>2018-2</c:v>
                </c:pt>
                <c:pt idx="54">
                  <c:v>2018-3</c:v>
                </c:pt>
                <c:pt idx="55">
                  <c:v>2018-4</c:v>
                </c:pt>
                <c:pt idx="56">
                  <c:v>2019-1</c:v>
                </c:pt>
                <c:pt idx="57">
                  <c:v>2019-2</c:v>
                </c:pt>
                <c:pt idx="58">
                  <c:v>2019-3</c:v>
                </c:pt>
                <c:pt idx="59">
                  <c:v>2019-4</c:v>
                </c:pt>
                <c:pt idx="60">
                  <c:v>2020-1</c:v>
                </c:pt>
                <c:pt idx="61">
                  <c:v>2020-2</c:v>
                </c:pt>
                <c:pt idx="62">
                  <c:v>2020-3</c:v>
                </c:pt>
                <c:pt idx="63">
                  <c:v>2020-4</c:v>
                </c:pt>
                <c:pt idx="64">
                  <c:v>2021-1</c:v>
                </c:pt>
                <c:pt idx="65">
                  <c:v>2021-2</c:v>
                </c:pt>
                <c:pt idx="66">
                  <c:v>2021-3</c:v>
                </c:pt>
                <c:pt idx="67">
                  <c:v>2021-4</c:v>
                </c:pt>
                <c:pt idx="68">
                  <c:v>2022-1</c:v>
                </c:pt>
                <c:pt idx="69">
                  <c:v>2022-2</c:v>
                </c:pt>
                <c:pt idx="70">
                  <c:v>2022-3</c:v>
                </c:pt>
              </c:strCache>
            </c:strRef>
          </c:cat>
          <c:val>
            <c:numRef>
              <c:f>'[3rd Qtr 2022.xlsx]Qtr &amp; Yrly Sheet'!$D$10:$D$73,'[3rd Qtr 2022.xlsx]Qtr &amp; Yrly Sheet'!$D$74,'[3rd Qtr 2022.xlsx]Qtr &amp; Yrly Sheet'!$D$75,'[3rd Qtr 2022.xlsx]Qtr &amp; Yrly Sheet'!$D$76,'[3rd Qtr 2022.xlsx]Qtr &amp; Yrly Sheet'!$D$77,'[3rd Qtr 2022.xlsx]Qtr &amp; Yrly Sheet'!$D$78,'[3rd Qtr 2022.xlsx]Qtr &amp; Yrly Sheet'!$D$79,'[3rd Qtr 2022.xlsx]Qtr &amp; Yrly Sheet'!$D$80</c:f>
              <c:numCache>
                <c:formatCode>General</c:formatCode>
                <c:ptCount val="71"/>
                <c:pt idx="0">
                  <c:v>205</c:v>
                </c:pt>
                <c:pt idx="1">
                  <c:v>238</c:v>
                </c:pt>
                <c:pt idx="2">
                  <c:v>303</c:v>
                </c:pt>
                <c:pt idx="3">
                  <c:v>270</c:v>
                </c:pt>
                <c:pt idx="4">
                  <c:v>272</c:v>
                </c:pt>
                <c:pt idx="5">
                  <c:v>285</c:v>
                </c:pt>
                <c:pt idx="6">
                  <c:v>289</c:v>
                </c:pt>
                <c:pt idx="7">
                  <c:v>300</c:v>
                </c:pt>
                <c:pt idx="8">
                  <c:v>317</c:v>
                </c:pt>
                <c:pt idx="9">
                  <c:v>285</c:v>
                </c:pt>
                <c:pt idx="10">
                  <c:v>285</c:v>
                </c:pt>
                <c:pt idx="11">
                  <c:v>289</c:v>
                </c:pt>
                <c:pt idx="12">
                  <c:v>264</c:v>
                </c:pt>
                <c:pt idx="13">
                  <c:v>277</c:v>
                </c:pt>
                <c:pt idx="14">
                  <c:v>277</c:v>
                </c:pt>
                <c:pt idx="15">
                  <c:v>260</c:v>
                </c:pt>
                <c:pt idx="16">
                  <c:v>250</c:v>
                </c:pt>
                <c:pt idx="17">
                  <c:v>249</c:v>
                </c:pt>
                <c:pt idx="18">
                  <c:v>264</c:v>
                </c:pt>
                <c:pt idx="19">
                  <c:v>239</c:v>
                </c:pt>
                <c:pt idx="20">
                  <c:v>230</c:v>
                </c:pt>
                <c:pt idx="21">
                  <c:v>230</c:v>
                </c:pt>
                <c:pt idx="22">
                  <c:v>218</c:v>
                </c:pt>
                <c:pt idx="23">
                  <c:v>230</c:v>
                </c:pt>
                <c:pt idx="24">
                  <c:v>211</c:v>
                </c:pt>
                <c:pt idx="25">
                  <c:v>205</c:v>
                </c:pt>
                <c:pt idx="26">
                  <c:v>215</c:v>
                </c:pt>
                <c:pt idx="27">
                  <c:v>210</c:v>
                </c:pt>
                <c:pt idx="28">
                  <c:v>220</c:v>
                </c:pt>
                <c:pt idx="29">
                  <c:v>211</c:v>
                </c:pt>
                <c:pt idx="30">
                  <c:v>234</c:v>
                </c:pt>
                <c:pt idx="31">
                  <c:v>225</c:v>
                </c:pt>
                <c:pt idx="32">
                  <c:v>221</c:v>
                </c:pt>
                <c:pt idx="33">
                  <c:v>220</c:v>
                </c:pt>
                <c:pt idx="34">
                  <c:v>204</c:v>
                </c:pt>
                <c:pt idx="35">
                  <c:v>216</c:v>
                </c:pt>
                <c:pt idx="36">
                  <c:v>234</c:v>
                </c:pt>
                <c:pt idx="37">
                  <c:v>230</c:v>
                </c:pt>
                <c:pt idx="38">
                  <c:v>231</c:v>
                </c:pt>
                <c:pt idx="39">
                  <c:v>232</c:v>
                </c:pt>
                <c:pt idx="40">
                  <c:v>245</c:v>
                </c:pt>
                <c:pt idx="41">
                  <c:v>250</c:v>
                </c:pt>
                <c:pt idx="42">
                  <c:v>256</c:v>
                </c:pt>
                <c:pt idx="43">
                  <c:v>261</c:v>
                </c:pt>
                <c:pt idx="44">
                  <c:v>270</c:v>
                </c:pt>
                <c:pt idx="45">
                  <c:v>265</c:v>
                </c:pt>
                <c:pt idx="46">
                  <c:v>276</c:v>
                </c:pt>
                <c:pt idx="47">
                  <c:v>274</c:v>
                </c:pt>
                <c:pt idx="48">
                  <c:v>290</c:v>
                </c:pt>
                <c:pt idx="49">
                  <c:v>300</c:v>
                </c:pt>
                <c:pt idx="50">
                  <c:v>317</c:v>
                </c:pt>
                <c:pt idx="51">
                  <c:v>302</c:v>
                </c:pt>
                <c:pt idx="52">
                  <c:v>322</c:v>
                </c:pt>
                <c:pt idx="53">
                  <c:v>337</c:v>
                </c:pt>
                <c:pt idx="54">
                  <c:v>335</c:v>
                </c:pt>
                <c:pt idx="55">
                  <c:v>359</c:v>
                </c:pt>
                <c:pt idx="56">
                  <c:v>345</c:v>
                </c:pt>
                <c:pt idx="57">
                  <c:v>349</c:v>
                </c:pt>
                <c:pt idx="58">
                  <c:v>359</c:v>
                </c:pt>
                <c:pt idx="59">
                  <c:v>354</c:v>
                </c:pt>
                <c:pt idx="60">
                  <c:v>375</c:v>
                </c:pt>
                <c:pt idx="61">
                  <c:v>387</c:v>
                </c:pt>
                <c:pt idx="62">
                  <c:v>440</c:v>
                </c:pt>
                <c:pt idx="63">
                  <c:v>425</c:v>
                </c:pt>
                <c:pt idx="64">
                  <c:v>456</c:v>
                </c:pt>
                <c:pt idx="65">
                  <c:v>488</c:v>
                </c:pt>
                <c:pt idx="66">
                  <c:v>496</c:v>
                </c:pt>
                <c:pt idx="67">
                  <c:v>500</c:v>
                </c:pt>
                <c:pt idx="68">
                  <c:v>559</c:v>
                </c:pt>
                <c:pt idx="69">
                  <c:v>575</c:v>
                </c:pt>
                <c:pt idx="70">
                  <c:v>550</c:v>
                </c:pt>
              </c:numCache>
            </c:numRef>
          </c:val>
          <c:extLst>
            <c:ext xmlns:c16="http://schemas.microsoft.com/office/drawing/2014/chart" uri="{C3380CC4-5D6E-409C-BE32-E72D297353CC}">
              <c16:uniqueId val="{00000047-5B3A-43C1-9DE2-1D1B8C8D200F}"/>
            </c:ext>
          </c:extLst>
        </c:ser>
        <c:dLbls>
          <c:dLblPos val="inEnd"/>
          <c:showLegendKey val="0"/>
          <c:showVal val="1"/>
          <c:showCatName val="0"/>
          <c:showSerName val="0"/>
          <c:showPercent val="0"/>
          <c:showBubbleSize val="0"/>
        </c:dLbls>
        <c:gapWidth val="65"/>
        <c:axId val="219044096"/>
        <c:axId val="219049984"/>
      </c:barChart>
      <c:catAx>
        <c:axId val="219044096"/>
        <c:scaling>
          <c:orientation val="minMax"/>
        </c:scaling>
        <c:delete val="0"/>
        <c:axPos val="b"/>
        <c:numFmt formatCode="General" sourceLinked="0"/>
        <c:majorTickMark val="none"/>
        <c:minorTickMark val="none"/>
        <c:tickLblPos val="nextTo"/>
        <c:spPr>
          <a:noFill/>
          <a:ln w="19050" cap="flat" cmpd="sng" algn="ctr">
            <a:solidFill>
              <a:schemeClr val="dk1">
                <a:lumMod val="75000"/>
                <a:lumOff val="25000"/>
              </a:schemeClr>
            </a:solidFill>
            <a:round/>
          </a:ln>
          <a:effectLst/>
        </c:spPr>
        <c:txPr>
          <a:bodyPr rot="-2520000" spcFirstLastPara="1" vertOverflow="ellipsis"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219049984"/>
        <c:crosses val="autoZero"/>
        <c:auto val="0"/>
        <c:lblAlgn val="ctr"/>
        <c:lblOffset val="100"/>
        <c:tickLblSkip val="1"/>
        <c:tickMarkSkip val="7"/>
        <c:noMultiLvlLbl val="0"/>
      </c:catAx>
      <c:valAx>
        <c:axId val="219049984"/>
        <c:scaling>
          <c:orientation val="minMax"/>
          <c:min val="150"/>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219044096"/>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rot="0" spcFirstLastPara="1" vertOverflow="ellipsis" vert="horz" wrap="square" anchor="ctr" anchorCtr="1"/>
          <a:lstStyle/>
          <a:p>
            <a:pPr>
              <a:defRPr sz="1800" b="1" i="0" u="none" strike="noStrike" kern="1200" baseline="0">
                <a:solidFill>
                  <a:schemeClr val="tx1"/>
                </a:solidFill>
                <a:latin typeface="+mn-lt"/>
                <a:ea typeface="+mn-ea"/>
                <a:cs typeface="+mn-cs"/>
              </a:defRPr>
            </a:pPr>
            <a:endParaRPr lang="en-US"/>
          </a:p>
          <a:p>
            <a:pPr>
              <a:defRPr/>
            </a:pPr>
            <a:r>
              <a:rPr lang="en-US"/>
              <a:t>Average Number of Homes for Sale per Month</a:t>
            </a:r>
          </a:p>
          <a:p>
            <a:pPr>
              <a:defRPr/>
            </a:pPr>
            <a:r>
              <a:rPr lang="en-US"/>
              <a:t>Comparing 3rd Quarter Only</a:t>
            </a:r>
          </a:p>
          <a:p>
            <a:pPr>
              <a:defRPr/>
            </a:pPr>
            <a:r>
              <a:rPr lang="en-US"/>
              <a:t>2004 - 2022
</a:t>
            </a:r>
          </a:p>
        </c:rich>
      </c:tx>
      <c:layout>
        <c:manualLayout>
          <c:xMode val="edge"/>
          <c:yMode val="edge"/>
          <c:x val="0.42140013048016089"/>
          <c:y val="1.7505812792999832E-2"/>
        </c:manualLayout>
      </c:layout>
      <c:overlay val="0"/>
      <c:spPr>
        <a:noFill/>
        <a:ln>
          <a:noFill/>
        </a:ln>
        <a:effectLst/>
      </c:spPr>
      <c:txPr>
        <a:bodyPr rot="0" spcFirstLastPara="1" vertOverflow="ellipsis" vert="horz" wrap="square" anchor="ctr" anchorCtr="1"/>
        <a:lstStyle/>
        <a:p>
          <a:pPr>
            <a:defRPr sz="1800" b="1" i="0" u="none" strike="noStrike" kern="1200" baseline="0">
              <a:solidFill>
                <a:schemeClr val="tx1"/>
              </a:solidFill>
              <a:latin typeface="+mn-lt"/>
              <a:ea typeface="+mn-ea"/>
              <a:cs typeface="+mn-cs"/>
            </a:defRPr>
          </a:pPr>
          <a:endParaRPr lang="en-US"/>
        </a:p>
      </c:txPr>
    </c:title>
    <c:autoTitleDeleted val="0"/>
    <c:plotArea>
      <c:layout>
        <c:manualLayout>
          <c:layoutTarget val="inner"/>
          <c:xMode val="edge"/>
          <c:yMode val="edge"/>
          <c:x val="4.5504994450612124E-2"/>
          <c:y val="0.11854268624252312"/>
          <c:w val="0.94339622641513221"/>
          <c:h val="0.77324632952691652"/>
        </c:manualLayout>
      </c:layout>
      <c:barChart>
        <c:barDir val="col"/>
        <c:grouping val="clustered"/>
        <c:varyColors val="0"/>
        <c:ser>
          <c:idx val="0"/>
          <c:order val="0"/>
          <c:tx>
            <c:v>Number of Homes For Sale</c:v>
          </c:tx>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Lbl>
              <c:idx val="15"/>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extLst>
                <c:ext xmlns:c16="http://schemas.microsoft.com/office/drawing/2014/chart" uri="{C3380CC4-5D6E-409C-BE32-E72D297353CC}">
                  <c16:uniqueId val="{00000000-36D3-4A24-B2DB-7EFC6BD6A64B}"/>
                </c:ext>
              </c:extLst>
            </c:dLbl>
            <c:dLbl>
              <c:idx val="18"/>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extLst>
                <c:ext xmlns:c16="http://schemas.microsoft.com/office/drawing/2014/chart" uri="{C3380CC4-5D6E-409C-BE32-E72D297353CC}">
                  <c16:uniqueId val="{00000001-36D3-4A24-B2DB-7EFC6BD6A64B}"/>
                </c:ext>
              </c:extLst>
            </c:dLbl>
            <c:dLbl>
              <c:idx val="32"/>
              <c:tx>
                <c:rich>
                  <a:bodyPr/>
                  <a:lstStyle/>
                  <a:p>
                    <a:r>
                      <a:rPr lang="en-US"/>
                      <a:t>19</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36D3-4A24-B2DB-7EFC6BD6A64B}"/>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'[3rd Qtr 2022.xlsx]Qtr &amp; Yrly Sheet'!$F$8,'[3rd Qtr 2022.xlsx]Qtr &amp; Yrly Sheet'!$F$12,'[3rd Qtr 2022.xlsx]Qtr &amp; Yrly Sheet'!$F$16,'[3rd Qtr 2022.xlsx]Qtr &amp; Yrly Sheet'!$F$20,'[3rd Qtr 2022.xlsx]Qtr &amp; Yrly Sheet'!$F$24,'[3rd Qtr 2022.xlsx]Qtr &amp; Yrly Sheet'!$F$28,'[3rd Qtr 2022.xlsx]Qtr &amp; Yrly Sheet'!$F$32,'[3rd Qtr 2022.xlsx]Qtr &amp; Yrly Sheet'!$F$36,'[3rd Qtr 2022.xlsx]Qtr &amp; Yrly Sheet'!$F$40,'[3rd Qtr 2022.xlsx]Qtr &amp; Yrly Sheet'!$F$44,'[3rd Qtr 2022.xlsx]Qtr &amp; Yrly Sheet'!$F$48,'[3rd Qtr 2022.xlsx]Qtr &amp; Yrly Sheet'!$F$52,'[3rd Qtr 2022.xlsx]Qtr &amp; Yrly Sheet'!$F$56,'[3rd Qtr 2022.xlsx]Qtr &amp; Yrly Sheet'!$F$60,'[3rd Qtr 2022.xlsx]Qtr &amp; Yrly Sheet'!$F$64,'[3rd Qtr 2022.xlsx]Qtr &amp; Yrly Sheet'!$F$68,'[3rd Qtr 2022.xlsx]Qtr &amp; Yrly Sheet'!$F$72,'[3rd Qtr 2022.xlsx]Qtr &amp; Yrly Sheet'!$F$76,'[3rd Qtr 2022.xlsx]Qtr &amp; Yrly Sheet'!$F$80</c:f>
              <c:strCache>
                <c:ptCount val="19"/>
                <c:pt idx="0">
                  <c:v>2004-3</c:v>
                </c:pt>
                <c:pt idx="1">
                  <c:v>2005-3</c:v>
                </c:pt>
                <c:pt idx="2">
                  <c:v>2006-3</c:v>
                </c:pt>
                <c:pt idx="3">
                  <c:v>2007-3</c:v>
                </c:pt>
                <c:pt idx="4">
                  <c:v>2008-3</c:v>
                </c:pt>
                <c:pt idx="5">
                  <c:v>2009-3</c:v>
                </c:pt>
                <c:pt idx="6">
                  <c:v>2010-3</c:v>
                </c:pt>
                <c:pt idx="7">
                  <c:v>2011-3</c:v>
                </c:pt>
                <c:pt idx="8">
                  <c:v>2012-3</c:v>
                </c:pt>
                <c:pt idx="9">
                  <c:v>2013-3</c:v>
                </c:pt>
                <c:pt idx="10">
                  <c:v>2014-3</c:v>
                </c:pt>
                <c:pt idx="11">
                  <c:v>2015-3</c:v>
                </c:pt>
                <c:pt idx="12">
                  <c:v>2016-3</c:v>
                </c:pt>
                <c:pt idx="13">
                  <c:v>2017-3</c:v>
                </c:pt>
                <c:pt idx="14">
                  <c:v>2018-3</c:v>
                </c:pt>
                <c:pt idx="15">
                  <c:v>2019-3</c:v>
                </c:pt>
                <c:pt idx="16">
                  <c:v>2020-3</c:v>
                </c:pt>
                <c:pt idx="17">
                  <c:v>2021-3</c:v>
                </c:pt>
                <c:pt idx="18">
                  <c:v>2022-3</c:v>
                </c:pt>
              </c:strCache>
            </c:strRef>
          </c:cat>
          <c:val>
            <c:numRef>
              <c:f>'[3rd Qtr 2022.xlsx]Qtr &amp; Yrly Sheet'!$E$8,'[3rd Qtr 2022.xlsx]Qtr &amp; Yrly Sheet'!$E$12,'[3rd Qtr 2022.xlsx]Qtr &amp; Yrly Sheet'!$E$16,'[3rd Qtr 2022.xlsx]Qtr &amp; Yrly Sheet'!$E$20,'[3rd Qtr 2022.xlsx]Qtr &amp; Yrly Sheet'!$E$24,'[3rd Qtr 2022.xlsx]Qtr &amp; Yrly Sheet'!$E$28,'[3rd Qtr 2022.xlsx]Qtr &amp; Yrly Sheet'!$E$32,'[3rd Qtr 2022.xlsx]Qtr &amp; Yrly Sheet'!$E$36,'[3rd Qtr 2022.xlsx]Qtr &amp; Yrly Sheet'!$E$40,'[3rd Qtr 2022.xlsx]Qtr &amp; Yrly Sheet'!$E$44,'[3rd Qtr 2022.xlsx]Qtr &amp; Yrly Sheet'!$E$48,'[3rd Qtr 2022.xlsx]Qtr &amp; Yrly Sheet'!$E$52,'[3rd Qtr 2022.xlsx]Qtr &amp; Yrly Sheet'!$E$56,'[3rd Qtr 2022.xlsx]Qtr &amp; Yrly Sheet'!$E$60,'[3rd Qtr 2022.xlsx]Qtr &amp; Yrly Sheet'!$E$64,'[3rd Qtr 2022.xlsx]Qtr &amp; Yrly Sheet'!$E$68,'[3rd Qtr 2022.xlsx]Qtr &amp; Yrly Sheet'!$E$72,'[3rd Qtr 2022.xlsx]Qtr &amp; Yrly Sheet'!$E$76,'[3rd Qtr 2022.xlsx]Qtr &amp; Yrly Sheet'!$E$80</c:f>
              <c:numCache>
                <c:formatCode>0</c:formatCode>
                <c:ptCount val="19"/>
                <c:pt idx="0">
                  <c:v>188.33333333333334</c:v>
                </c:pt>
                <c:pt idx="1">
                  <c:v>279.33333333333331</c:v>
                </c:pt>
                <c:pt idx="2">
                  <c:v>498.33333333333331</c:v>
                </c:pt>
                <c:pt idx="3">
                  <c:v>507.33333333333331</c:v>
                </c:pt>
                <c:pt idx="4">
                  <c:v>526</c:v>
                </c:pt>
                <c:pt idx="5">
                  <c:v>555</c:v>
                </c:pt>
                <c:pt idx="6">
                  <c:v>579</c:v>
                </c:pt>
                <c:pt idx="7">
                  <c:v>519</c:v>
                </c:pt>
                <c:pt idx="8">
                  <c:v>532</c:v>
                </c:pt>
                <c:pt idx="9">
                  <c:v>502</c:v>
                </c:pt>
                <c:pt idx="10">
                  <c:v>428</c:v>
                </c:pt>
                <c:pt idx="11">
                  <c:v>413</c:v>
                </c:pt>
                <c:pt idx="12">
                  <c:v>312</c:v>
                </c:pt>
                <c:pt idx="13">
                  <c:v>280</c:v>
                </c:pt>
                <c:pt idx="14">
                  <c:v>278</c:v>
                </c:pt>
                <c:pt idx="15">
                  <c:v>264</c:v>
                </c:pt>
                <c:pt idx="16">
                  <c:v>194</c:v>
                </c:pt>
                <c:pt idx="17">
                  <c:v>152</c:v>
                </c:pt>
                <c:pt idx="18">
                  <c:v>167</c:v>
                </c:pt>
              </c:numCache>
            </c:numRef>
          </c:val>
          <c:extLst>
            <c:ext xmlns:c16="http://schemas.microsoft.com/office/drawing/2014/chart" uri="{C3380CC4-5D6E-409C-BE32-E72D297353CC}">
              <c16:uniqueId val="{00000003-36D3-4A24-B2DB-7EFC6BD6A64B}"/>
            </c:ext>
          </c:extLst>
        </c:ser>
        <c:dLbls>
          <c:showLegendKey val="0"/>
          <c:showVal val="0"/>
          <c:showCatName val="0"/>
          <c:showSerName val="0"/>
          <c:showPercent val="0"/>
          <c:showBubbleSize val="0"/>
        </c:dLbls>
        <c:gapWidth val="150"/>
        <c:axId val="218591616"/>
        <c:axId val="218593152"/>
      </c:barChart>
      <c:catAx>
        <c:axId val="218591616"/>
        <c:scaling>
          <c:orientation val="minMax"/>
        </c:scaling>
        <c:delete val="0"/>
        <c:axPos val="b"/>
        <c:numFmt formatCode="General" sourceLinked="1"/>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2700000" spcFirstLastPara="1" vertOverflow="ellipsis" wrap="square" anchor="ctr" anchorCtr="1"/>
          <a:lstStyle/>
          <a:p>
            <a:pPr>
              <a:defRPr sz="1000" b="0" i="0" u="none" strike="noStrike" kern="1200" baseline="0">
                <a:solidFill>
                  <a:schemeClr val="tx1"/>
                </a:solidFill>
                <a:latin typeface="+mn-lt"/>
                <a:ea typeface="+mn-ea"/>
                <a:cs typeface="+mn-cs"/>
              </a:defRPr>
            </a:pPr>
            <a:endParaRPr lang="en-US"/>
          </a:p>
        </c:txPr>
        <c:crossAx val="218593152"/>
        <c:crosses val="autoZero"/>
        <c:auto val="1"/>
        <c:lblAlgn val="ctr"/>
        <c:lblOffset val="100"/>
        <c:tickLblSkip val="1"/>
        <c:tickMarkSkip val="1"/>
        <c:noMultiLvlLbl val="0"/>
      </c:catAx>
      <c:valAx>
        <c:axId val="218593152"/>
        <c:scaling>
          <c:orientation val="minMax"/>
        </c:scaling>
        <c:delete val="0"/>
        <c:axPos val="l"/>
        <c:numFmt formatCode="0" sourceLinked="1"/>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0" spcFirstLastPara="1" vertOverflow="ellipsis" wrap="square" anchor="ctr" anchorCtr="1"/>
          <a:lstStyle/>
          <a:p>
            <a:pPr>
              <a:defRPr sz="1000" b="0" i="0" u="none" strike="noStrike" kern="1200" baseline="0">
                <a:solidFill>
                  <a:schemeClr val="tx1"/>
                </a:solidFill>
                <a:latin typeface="+mn-lt"/>
                <a:ea typeface="+mn-ea"/>
                <a:cs typeface="+mn-cs"/>
              </a:defRPr>
            </a:pPr>
            <a:endParaRPr lang="en-US"/>
          </a:p>
        </c:txPr>
        <c:crossAx val="218591616"/>
        <c:crosses val="autoZero"/>
        <c:crossBetween val="between"/>
      </c:valAx>
      <c:spPr>
        <a:solidFill>
          <a:schemeClr val="bg1"/>
        </a:solidFill>
        <a:ln>
          <a:noFill/>
        </a:ln>
        <a:effectLst/>
      </c:spPr>
    </c:plotArea>
    <c:plotVisOnly val="0"/>
    <c:dispBlanksAs val="gap"/>
    <c:showDLblsOverMax val="0"/>
  </c:chart>
  <c:spPr>
    <a:solidFill>
      <a:schemeClr val="bg1"/>
    </a:solidFill>
    <a:ln w="9525" cap="flat" cmpd="sng" algn="ctr">
      <a:solidFill>
        <a:schemeClr val="tx1">
          <a:tint val="75000"/>
          <a:shade val="95000"/>
          <a:satMod val="105000"/>
        </a:schemeClr>
      </a:solidFill>
      <a:prstDash val="solid"/>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rot="0" spcFirstLastPara="1" vertOverflow="ellipsis" vert="horz" wrap="square" anchor="ctr" anchorCtr="1"/>
          <a:lstStyle/>
          <a:p>
            <a:pPr>
              <a:defRPr sz="1800" b="1" i="0" u="none" strike="noStrike" kern="1200" baseline="0">
                <a:solidFill>
                  <a:schemeClr val="tx1"/>
                </a:solidFill>
                <a:latin typeface="+mn-lt"/>
                <a:ea typeface="+mn-ea"/>
                <a:cs typeface="+mn-cs"/>
              </a:defRPr>
            </a:pPr>
            <a:r>
              <a:rPr lang="en-US"/>
              <a:t>Average Number of Homes Sold per Month </a:t>
            </a:r>
          </a:p>
          <a:p>
            <a:pPr>
              <a:defRPr/>
            </a:pPr>
            <a:r>
              <a:rPr lang="en-US"/>
              <a:t>Comparing 3rd Quarter Only</a:t>
            </a:r>
          </a:p>
          <a:p>
            <a:pPr>
              <a:defRPr/>
            </a:pPr>
            <a:r>
              <a:rPr lang="en-US"/>
              <a:t>2004</a:t>
            </a:r>
            <a:r>
              <a:rPr lang="en-US" baseline="0"/>
              <a:t> - 2022</a:t>
            </a:r>
            <a:endParaRPr lang="en-US"/>
          </a:p>
        </c:rich>
      </c:tx>
      <c:layout>
        <c:manualLayout>
          <c:xMode val="edge"/>
          <c:yMode val="edge"/>
          <c:x val="0.10235141440653253"/>
          <c:y val="1.2389623662708603E-3"/>
        </c:manualLayout>
      </c:layout>
      <c:overlay val="0"/>
      <c:spPr>
        <a:noFill/>
        <a:ln>
          <a:noFill/>
        </a:ln>
        <a:effectLst/>
      </c:spPr>
      <c:txPr>
        <a:bodyPr rot="0" spcFirstLastPara="1" vertOverflow="ellipsis" vert="horz" wrap="square" anchor="ctr" anchorCtr="1"/>
        <a:lstStyle/>
        <a:p>
          <a:pPr>
            <a:defRPr sz="1800" b="1" i="0" u="none" strike="noStrike" kern="1200" baseline="0">
              <a:solidFill>
                <a:schemeClr val="tx1"/>
              </a:solidFill>
              <a:latin typeface="+mn-lt"/>
              <a:ea typeface="+mn-ea"/>
              <a:cs typeface="+mn-cs"/>
            </a:defRPr>
          </a:pPr>
          <a:endParaRPr lang="en-US"/>
        </a:p>
      </c:txPr>
    </c:title>
    <c:autoTitleDeleted val="0"/>
    <c:plotArea>
      <c:layout>
        <c:manualLayout>
          <c:layoutTarget val="inner"/>
          <c:xMode val="edge"/>
          <c:yMode val="edge"/>
          <c:x val="5.1469101393737254E-2"/>
          <c:y val="0.10331694543280612"/>
          <c:w val="0.94339622641513221"/>
          <c:h val="0.77324632952691652"/>
        </c:manualLayout>
      </c:layout>
      <c:barChart>
        <c:barDir val="col"/>
        <c:grouping val="clustered"/>
        <c:varyColors val="0"/>
        <c:ser>
          <c:idx val="0"/>
          <c:order val="0"/>
          <c:tx>
            <c:v>Number of Homes Sold</c:v>
          </c:tx>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Lbl>
              <c:idx val="18"/>
              <c:spPr>
                <a:noFill/>
                <a:ln>
                  <a:noFill/>
                </a:ln>
                <a:effectLst/>
              </c:spPr>
              <c:txPr>
                <a:bodyPr rot="0" spcFirstLastPara="1" vertOverflow="ellipsis" vert="horz" wrap="square" anchor="ctr" anchorCtr="1"/>
                <a:lstStyle/>
                <a:p>
                  <a:pPr>
                    <a:defRPr sz="1800" b="1"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extLst>
                <c:ext xmlns:c16="http://schemas.microsoft.com/office/drawing/2014/chart" uri="{C3380CC4-5D6E-409C-BE32-E72D297353CC}">
                  <c16:uniqueId val="{00000000-1FD4-410B-9218-E2A1FB81F1C2}"/>
                </c:ext>
              </c:extLst>
            </c:dLbl>
            <c:dLbl>
              <c:idx val="32"/>
              <c:tx>
                <c:rich>
                  <a:bodyPr/>
                  <a:lstStyle/>
                  <a:p>
                    <a:r>
                      <a:rPr lang="en-US" sz="1200"/>
                      <a:t>1</a:t>
                    </a:r>
                    <a:r>
                      <a:rPr lang="en-US"/>
                      <a:t>9</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1FD4-410B-9218-E2A1FB81F1C2}"/>
                </c:ext>
              </c:extLst>
            </c:dLbl>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'[3rd Qtr 2022.xlsx]Qtr &amp; Yrly Sheet'!$F$8,'[3rd Qtr 2022.xlsx]Qtr &amp; Yrly Sheet'!$F$12,'[3rd Qtr 2022.xlsx]Qtr &amp; Yrly Sheet'!$F$16,'[3rd Qtr 2022.xlsx]Qtr &amp; Yrly Sheet'!$F$20,'[3rd Qtr 2022.xlsx]Qtr &amp; Yrly Sheet'!$F$24,'[3rd Qtr 2022.xlsx]Qtr &amp; Yrly Sheet'!$F$28,'[3rd Qtr 2022.xlsx]Qtr &amp; Yrly Sheet'!$F$32,'[3rd Qtr 2022.xlsx]Qtr &amp; Yrly Sheet'!$F$36,'[3rd Qtr 2022.xlsx]Qtr &amp; Yrly Sheet'!$F$40,'[3rd Qtr 2022.xlsx]Qtr &amp; Yrly Sheet'!$F$44,'[3rd Qtr 2022.xlsx]Qtr &amp; Yrly Sheet'!$F$48,'[3rd Qtr 2022.xlsx]Qtr &amp; Yrly Sheet'!$F$52,'[3rd Qtr 2022.xlsx]Qtr &amp; Yrly Sheet'!$F$56,'[3rd Qtr 2022.xlsx]Qtr &amp; Yrly Sheet'!$F$60,'[3rd Qtr 2022.xlsx]Qtr &amp; Yrly Sheet'!$F$64,'[3rd Qtr 2022.xlsx]Qtr &amp; Yrly Sheet'!$F$68,'[3rd Qtr 2022.xlsx]Qtr &amp; Yrly Sheet'!$F$72,'[3rd Qtr 2022.xlsx]Qtr &amp; Yrly Sheet'!$F$76,'[3rd Qtr 2022.xlsx]Qtr &amp; Yrly Sheet'!$F$80</c:f>
              <c:strCache>
                <c:ptCount val="19"/>
                <c:pt idx="0">
                  <c:v>2004-3</c:v>
                </c:pt>
                <c:pt idx="1">
                  <c:v>2005-3</c:v>
                </c:pt>
                <c:pt idx="2">
                  <c:v>2006-3</c:v>
                </c:pt>
                <c:pt idx="3">
                  <c:v>2007-3</c:v>
                </c:pt>
                <c:pt idx="4">
                  <c:v>2008-3</c:v>
                </c:pt>
                <c:pt idx="5">
                  <c:v>2009-3</c:v>
                </c:pt>
                <c:pt idx="6">
                  <c:v>2010-3</c:v>
                </c:pt>
                <c:pt idx="7">
                  <c:v>2011-3</c:v>
                </c:pt>
                <c:pt idx="8">
                  <c:v>2012-3</c:v>
                </c:pt>
                <c:pt idx="9">
                  <c:v>2013-3</c:v>
                </c:pt>
                <c:pt idx="10">
                  <c:v>2014-3</c:v>
                </c:pt>
                <c:pt idx="11">
                  <c:v>2015-3</c:v>
                </c:pt>
                <c:pt idx="12">
                  <c:v>2016-3</c:v>
                </c:pt>
                <c:pt idx="13">
                  <c:v>2017-3</c:v>
                </c:pt>
                <c:pt idx="14">
                  <c:v>2018-3</c:v>
                </c:pt>
                <c:pt idx="15">
                  <c:v>2019-3</c:v>
                </c:pt>
                <c:pt idx="16">
                  <c:v>2020-3</c:v>
                </c:pt>
                <c:pt idx="17">
                  <c:v>2021-3</c:v>
                </c:pt>
                <c:pt idx="18">
                  <c:v>2022-3</c:v>
                </c:pt>
              </c:strCache>
            </c:strRef>
          </c:cat>
          <c:val>
            <c:numRef>
              <c:f>'[3rd Qtr 2022.xlsx]Qtr &amp; Yrly Sheet'!$C$8,'[3rd Qtr 2022.xlsx]Qtr &amp; Yrly Sheet'!$C$12,'[3rd Qtr 2022.xlsx]Qtr &amp; Yrly Sheet'!$C$16,'[3rd Qtr 2022.xlsx]Qtr &amp; Yrly Sheet'!$C$20,'[3rd Qtr 2022.xlsx]Qtr &amp; Yrly Sheet'!$C$24,'[3rd Qtr 2022.xlsx]Qtr &amp; Yrly Sheet'!$C$28,'[3rd Qtr 2022.xlsx]Qtr &amp; Yrly Sheet'!$C$32,'[3rd Qtr 2022.xlsx]Qtr &amp; Yrly Sheet'!$C$36,'[3rd Qtr 2022.xlsx]Qtr &amp; Yrly Sheet'!$C$40,'[3rd Qtr 2022.xlsx]Qtr &amp; Yrly Sheet'!$C$44,'[3rd Qtr 2022.xlsx]Qtr &amp; Yrly Sheet'!$C$48,'[3rd Qtr 2022.xlsx]Qtr &amp; Yrly Sheet'!$C$52,'[3rd Qtr 2022.xlsx]Qtr &amp; Yrly Sheet'!$C$56,'[3rd Qtr 2022.xlsx]Qtr &amp; Yrly Sheet'!$C$60,'[3rd Qtr 2022.xlsx]Qtr &amp; Yrly Sheet'!$C$64,'[3rd Qtr 2022.xlsx]Qtr &amp; Yrly Sheet'!$C$68,'[3rd Qtr 2022.xlsx]Qtr &amp; Yrly Sheet'!$C$72,'[3rd Qtr 2022.xlsx]Qtr &amp; Yrly Sheet'!$C$76,'[3rd Qtr 2022.xlsx]Qtr &amp; Yrly Sheet'!$C$80</c:f>
              <c:numCache>
                <c:formatCode>0</c:formatCode>
                <c:ptCount val="19"/>
                <c:pt idx="0">
                  <c:v>62.333333333333336</c:v>
                </c:pt>
                <c:pt idx="1">
                  <c:v>61</c:v>
                </c:pt>
                <c:pt idx="2">
                  <c:v>47</c:v>
                </c:pt>
                <c:pt idx="3">
                  <c:v>52.333333333333336</c:v>
                </c:pt>
                <c:pt idx="4">
                  <c:v>37</c:v>
                </c:pt>
                <c:pt idx="5">
                  <c:v>39</c:v>
                </c:pt>
                <c:pt idx="6">
                  <c:v>30</c:v>
                </c:pt>
                <c:pt idx="7">
                  <c:v>33</c:v>
                </c:pt>
                <c:pt idx="8">
                  <c:v>37</c:v>
                </c:pt>
                <c:pt idx="9">
                  <c:v>60</c:v>
                </c:pt>
                <c:pt idx="10">
                  <c:v>62</c:v>
                </c:pt>
                <c:pt idx="11">
                  <c:v>70</c:v>
                </c:pt>
                <c:pt idx="12">
                  <c:v>74</c:v>
                </c:pt>
                <c:pt idx="13">
                  <c:v>62</c:v>
                </c:pt>
                <c:pt idx="14">
                  <c:v>61</c:v>
                </c:pt>
                <c:pt idx="15">
                  <c:v>64</c:v>
                </c:pt>
                <c:pt idx="16">
                  <c:v>70</c:v>
                </c:pt>
                <c:pt idx="17">
                  <c:v>72</c:v>
                </c:pt>
                <c:pt idx="18">
                  <c:v>48</c:v>
                </c:pt>
              </c:numCache>
            </c:numRef>
          </c:val>
          <c:extLst>
            <c:ext xmlns:c16="http://schemas.microsoft.com/office/drawing/2014/chart" uri="{C3380CC4-5D6E-409C-BE32-E72D297353CC}">
              <c16:uniqueId val="{00000002-1FD4-410B-9218-E2A1FB81F1C2}"/>
            </c:ext>
          </c:extLst>
        </c:ser>
        <c:dLbls>
          <c:showLegendKey val="0"/>
          <c:showVal val="0"/>
          <c:showCatName val="0"/>
          <c:showSerName val="0"/>
          <c:showPercent val="0"/>
          <c:showBubbleSize val="0"/>
        </c:dLbls>
        <c:gapWidth val="135"/>
        <c:axId val="218214400"/>
        <c:axId val="218215936"/>
      </c:barChart>
      <c:catAx>
        <c:axId val="218214400"/>
        <c:scaling>
          <c:orientation val="minMax"/>
        </c:scaling>
        <c:delete val="0"/>
        <c:axPos val="b"/>
        <c:numFmt formatCode="General" sourceLinked="1"/>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2700000" spcFirstLastPara="1" vertOverflow="ellipsis" wrap="square" anchor="ctr" anchorCtr="1"/>
          <a:lstStyle/>
          <a:p>
            <a:pPr>
              <a:defRPr sz="1000" b="0" i="0" u="none" strike="noStrike" kern="1200" baseline="0">
                <a:solidFill>
                  <a:schemeClr val="tx1"/>
                </a:solidFill>
                <a:latin typeface="+mn-lt"/>
                <a:ea typeface="+mn-ea"/>
                <a:cs typeface="+mn-cs"/>
              </a:defRPr>
            </a:pPr>
            <a:endParaRPr lang="en-US"/>
          </a:p>
        </c:txPr>
        <c:crossAx val="218215936"/>
        <c:crosses val="autoZero"/>
        <c:auto val="1"/>
        <c:lblAlgn val="ctr"/>
        <c:lblOffset val="100"/>
        <c:tickLblSkip val="1"/>
        <c:tickMarkSkip val="1"/>
        <c:noMultiLvlLbl val="0"/>
      </c:catAx>
      <c:valAx>
        <c:axId val="218215936"/>
        <c:scaling>
          <c:orientation val="minMax"/>
        </c:scaling>
        <c:delete val="0"/>
        <c:axPos val="l"/>
        <c:numFmt formatCode="0" sourceLinked="1"/>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0" spcFirstLastPara="1" vertOverflow="ellipsis" wrap="square" anchor="ctr" anchorCtr="1"/>
          <a:lstStyle/>
          <a:p>
            <a:pPr>
              <a:defRPr sz="1000" b="0" i="0" u="none" strike="noStrike" kern="1200" baseline="0">
                <a:solidFill>
                  <a:schemeClr val="tx1"/>
                </a:solidFill>
                <a:latin typeface="+mn-lt"/>
                <a:ea typeface="+mn-ea"/>
                <a:cs typeface="+mn-cs"/>
              </a:defRPr>
            </a:pPr>
            <a:endParaRPr lang="en-US"/>
          </a:p>
        </c:txPr>
        <c:crossAx val="218214400"/>
        <c:crosses val="autoZero"/>
        <c:crossBetween val="between"/>
      </c:valAx>
      <c:spPr>
        <a:solidFill>
          <a:schemeClr val="bg1"/>
        </a:solidFill>
        <a:ln>
          <a:noFill/>
        </a:ln>
        <a:effectLst/>
      </c:spPr>
    </c:plotArea>
    <c:plotVisOnly val="0"/>
    <c:dispBlanksAs val="gap"/>
    <c:showDLblsOverMax val="0"/>
  </c:chart>
  <c:spPr>
    <a:solidFill>
      <a:schemeClr val="bg1"/>
    </a:solidFill>
    <a:ln w="9525" cap="flat" cmpd="sng" algn="ctr">
      <a:solidFill>
        <a:schemeClr val="tx1">
          <a:tint val="75000"/>
          <a:shade val="95000"/>
          <a:satMod val="105000"/>
        </a:schemeClr>
      </a:solidFill>
      <a:prstDash val="solid"/>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1"/>
    <c:plotArea>
      <c:layout>
        <c:manualLayout>
          <c:layoutTarget val="inner"/>
          <c:xMode val="edge"/>
          <c:yMode val="edge"/>
          <c:x val="2.5060952273493194E-2"/>
          <c:y val="3.4252593545046552E-3"/>
          <c:w val="0.96436891034267092"/>
          <c:h val="0.83953613460083421"/>
        </c:manualLayout>
      </c:layout>
      <c:barChart>
        <c:barDir val="col"/>
        <c:grouping val="clustered"/>
        <c:varyColors val="0"/>
        <c:ser>
          <c:idx val="0"/>
          <c:order val="0"/>
          <c:tx>
            <c:v>sold price</c:v>
          </c:tx>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Lbl>
              <c:idx val="63"/>
              <c:tx>
                <c:rich>
                  <a:bodyPr/>
                  <a:lstStyle/>
                  <a:p>
                    <a:r>
                      <a:rPr lang="en-US"/>
                      <a:t>108</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30EE-41B5-9081-8D52E07893CE}"/>
                </c:ext>
              </c:extLst>
            </c:dLbl>
            <c:spPr>
              <a:noFill/>
              <a:ln>
                <a:noFill/>
              </a:ln>
              <a:effectLst/>
            </c:spPr>
            <c:txPr>
              <a:bodyPr rot="-5400000" spcFirstLastPara="1" vertOverflow="ellipsis" wrap="square" anchor="ctr" anchorCtr="1"/>
              <a:lstStyle/>
              <a:p>
                <a:pPr>
                  <a:defRPr sz="1000" b="0" i="0" u="none" strike="noStrike" kern="1200" baseline="0">
                    <a:solidFill>
                      <a:schemeClr val="tx1"/>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'[3rd Qtr 2022.xlsx]Qtr &amp; Yrly Sheet'!$F$6:$F$54,'[3rd Qtr 2022.xlsx]Qtr &amp; Yrly Sheet'!$F$55,'[3rd Qtr 2022.xlsx]Qtr &amp; Yrly Sheet'!$F$56,'[3rd Qtr 2022.xlsx]Qtr &amp; Yrly Sheet'!$F$57,'[3rd Qtr 2022.xlsx]Qtr &amp; Yrly Sheet'!$F$58,'[3rd Qtr 2022.xlsx]Qtr &amp; Yrly Sheet'!$F$59,'[3rd Qtr 2022.xlsx]Qtr &amp; Yrly Sheet'!$F$60,'[3rd Qtr 2022.xlsx]Qtr &amp; Yrly Sheet'!$F$61,'[3rd Qtr 2022.xlsx]Qtr &amp; Yrly Sheet'!$F$62,'[3rd Qtr 2022.xlsx]Qtr &amp; Yrly Sheet'!$F$63,'[3rd Qtr 2022.xlsx]Qtr &amp; Yrly Sheet'!$F$64,'[3rd Qtr 2022.xlsx]Qtr &amp; Yrly Sheet'!$F$65,'[3rd Qtr 2022.xlsx]Qtr &amp; Yrly Sheet'!$F$66,'[3rd Qtr 2022.xlsx]Qtr &amp; Yrly Sheet'!$F$67,'[3rd Qtr 2022.xlsx]Qtr &amp; Yrly Sheet'!$F$68,'[3rd Qtr 2022.xlsx]Qtr &amp; Yrly Sheet'!$F$69,'[3rd Qtr 2022.xlsx]Qtr &amp; Yrly Sheet'!$F$70,'[3rd Qtr 2022.xlsx]Qtr &amp; Yrly Sheet'!$F$71,'[3rd Qtr 2022.xlsx]Qtr &amp; Yrly Sheet'!$F$72,'[3rd Qtr 2022.xlsx]Qtr &amp; Yrly Sheet'!$F$73,'[3rd Qtr 2022.xlsx]Qtr &amp; Yrly Sheet'!$F$74,'[3rd Qtr 2022.xlsx]Qtr &amp; Yrly Sheet'!$F$75,'[3rd Qtr 2022.xlsx]Qtr &amp; Yrly Sheet'!$F$76,'[3rd Qtr 2022.xlsx]Qtr &amp; Yrly Sheet'!$F$77,'[3rd Qtr 2022.xlsx]Qtr &amp; Yrly Sheet'!$F$78,'[3rd Qtr 2022.xlsx]Qtr &amp; Yrly Sheet'!$F$79,'[3rd Qtr 2022.xlsx]Qtr &amp; Yrly Sheet'!$F$80</c:f>
              <c:strCache>
                <c:ptCount val="75"/>
                <c:pt idx="0">
                  <c:v>2004-1</c:v>
                </c:pt>
                <c:pt idx="1">
                  <c:v>2004-2</c:v>
                </c:pt>
                <c:pt idx="2">
                  <c:v>2004-3</c:v>
                </c:pt>
                <c:pt idx="3">
                  <c:v>2004-4</c:v>
                </c:pt>
                <c:pt idx="4">
                  <c:v>2005-1</c:v>
                </c:pt>
                <c:pt idx="5">
                  <c:v>2005-2</c:v>
                </c:pt>
                <c:pt idx="6">
                  <c:v>2005-3</c:v>
                </c:pt>
                <c:pt idx="7">
                  <c:v>2005-4</c:v>
                </c:pt>
                <c:pt idx="8">
                  <c:v>2006-1</c:v>
                </c:pt>
                <c:pt idx="9">
                  <c:v>2006-2</c:v>
                </c:pt>
                <c:pt idx="10">
                  <c:v>2006-3</c:v>
                </c:pt>
                <c:pt idx="11">
                  <c:v>2006-4</c:v>
                </c:pt>
                <c:pt idx="12">
                  <c:v>2007-1</c:v>
                </c:pt>
                <c:pt idx="13">
                  <c:v>2007-2</c:v>
                </c:pt>
                <c:pt idx="14">
                  <c:v>2007-3</c:v>
                </c:pt>
                <c:pt idx="15">
                  <c:v>2007-4</c:v>
                </c:pt>
                <c:pt idx="16">
                  <c:v>2008-1</c:v>
                </c:pt>
                <c:pt idx="17">
                  <c:v>2008-2</c:v>
                </c:pt>
                <c:pt idx="18">
                  <c:v>2008-3</c:v>
                </c:pt>
                <c:pt idx="19">
                  <c:v>2008-4</c:v>
                </c:pt>
                <c:pt idx="20">
                  <c:v>2009-1</c:v>
                </c:pt>
                <c:pt idx="21">
                  <c:v>2009-2</c:v>
                </c:pt>
                <c:pt idx="22">
                  <c:v>2009-3</c:v>
                </c:pt>
                <c:pt idx="23">
                  <c:v>2009-4</c:v>
                </c:pt>
                <c:pt idx="24">
                  <c:v>2010-1</c:v>
                </c:pt>
                <c:pt idx="25">
                  <c:v>2010-2</c:v>
                </c:pt>
                <c:pt idx="26">
                  <c:v>2010-3</c:v>
                </c:pt>
                <c:pt idx="27">
                  <c:v>2010-4</c:v>
                </c:pt>
                <c:pt idx="28">
                  <c:v>2011-1</c:v>
                </c:pt>
                <c:pt idx="29">
                  <c:v>2011-2</c:v>
                </c:pt>
                <c:pt idx="30">
                  <c:v>2011-3</c:v>
                </c:pt>
                <c:pt idx="31">
                  <c:v>2011-4</c:v>
                </c:pt>
                <c:pt idx="32">
                  <c:v>2012-1</c:v>
                </c:pt>
                <c:pt idx="33">
                  <c:v>2012-2</c:v>
                </c:pt>
                <c:pt idx="34">
                  <c:v>2012-3</c:v>
                </c:pt>
                <c:pt idx="35">
                  <c:v>2012-4</c:v>
                </c:pt>
                <c:pt idx="36">
                  <c:v>2013-1</c:v>
                </c:pt>
                <c:pt idx="37">
                  <c:v>2013-2</c:v>
                </c:pt>
                <c:pt idx="38">
                  <c:v>2013-3</c:v>
                </c:pt>
                <c:pt idx="39">
                  <c:v>2013-4</c:v>
                </c:pt>
                <c:pt idx="40">
                  <c:v>2014-1</c:v>
                </c:pt>
                <c:pt idx="41">
                  <c:v>2014-2</c:v>
                </c:pt>
                <c:pt idx="42">
                  <c:v>2014-3</c:v>
                </c:pt>
                <c:pt idx="43">
                  <c:v>2014-4</c:v>
                </c:pt>
                <c:pt idx="44">
                  <c:v>2015-1</c:v>
                </c:pt>
                <c:pt idx="45">
                  <c:v>2015-2</c:v>
                </c:pt>
                <c:pt idx="46">
                  <c:v>2015-3</c:v>
                </c:pt>
                <c:pt idx="47">
                  <c:v>2015-4</c:v>
                </c:pt>
                <c:pt idx="48">
                  <c:v>2016-1</c:v>
                </c:pt>
                <c:pt idx="49">
                  <c:v>2016-2</c:v>
                </c:pt>
                <c:pt idx="50">
                  <c:v>2016-3</c:v>
                </c:pt>
                <c:pt idx="51">
                  <c:v>2016-4</c:v>
                </c:pt>
                <c:pt idx="52">
                  <c:v>2017-1</c:v>
                </c:pt>
                <c:pt idx="53">
                  <c:v>2017-2</c:v>
                </c:pt>
                <c:pt idx="54">
                  <c:v>2017-3</c:v>
                </c:pt>
                <c:pt idx="55">
                  <c:v>2017-4</c:v>
                </c:pt>
                <c:pt idx="56">
                  <c:v>2018-1</c:v>
                </c:pt>
                <c:pt idx="57">
                  <c:v>2018-2</c:v>
                </c:pt>
                <c:pt idx="58">
                  <c:v>2018-3</c:v>
                </c:pt>
                <c:pt idx="59">
                  <c:v>2018-4</c:v>
                </c:pt>
                <c:pt idx="60">
                  <c:v>2019-1</c:v>
                </c:pt>
                <c:pt idx="61">
                  <c:v>2019-2</c:v>
                </c:pt>
                <c:pt idx="62">
                  <c:v>2019-3</c:v>
                </c:pt>
                <c:pt idx="63">
                  <c:v>2019-4</c:v>
                </c:pt>
                <c:pt idx="64">
                  <c:v>2020-1</c:v>
                </c:pt>
                <c:pt idx="65">
                  <c:v>2020-2</c:v>
                </c:pt>
                <c:pt idx="66">
                  <c:v>2020-3</c:v>
                </c:pt>
                <c:pt idx="67">
                  <c:v>2020-4</c:v>
                </c:pt>
                <c:pt idx="68">
                  <c:v>2021-1</c:v>
                </c:pt>
                <c:pt idx="69">
                  <c:v>2021-2</c:v>
                </c:pt>
                <c:pt idx="70">
                  <c:v>2021-3</c:v>
                </c:pt>
                <c:pt idx="71">
                  <c:v>2021-4</c:v>
                </c:pt>
                <c:pt idx="72">
                  <c:v>2022-1</c:v>
                </c:pt>
                <c:pt idx="73">
                  <c:v>2022-2</c:v>
                </c:pt>
                <c:pt idx="74">
                  <c:v>2022-3</c:v>
                </c:pt>
              </c:strCache>
            </c:strRef>
          </c:cat>
          <c:val>
            <c:numRef>
              <c:f>'[3rd Qtr 2022.xlsx]Qtr &amp; Yrly Sheet'!$H$6:$H$73,'[3rd Qtr 2022.xlsx]Qtr &amp; Yrly Sheet'!$H$74,'[3rd Qtr 2022.xlsx]Qtr &amp; Yrly Sheet'!$H$75,'[3rd Qtr 2022.xlsx]Qtr &amp; Yrly Sheet'!$H$76,'[3rd Qtr 2022.xlsx]Qtr &amp; Yrly Sheet'!$H$77,'[3rd Qtr 2022.xlsx]Qtr &amp; Yrly Sheet'!$H$78,'[3rd Qtr 2022.xlsx]Qtr &amp; Yrly Sheet'!$H$79,'[3rd Qtr 2022.xlsx]Qtr &amp; Yrly Sheet'!$H$80</c:f>
              <c:numCache>
                <c:formatCode>General</c:formatCode>
                <c:ptCount val="75"/>
                <c:pt idx="0">
                  <c:v>55</c:v>
                </c:pt>
                <c:pt idx="1">
                  <c:v>58</c:v>
                </c:pt>
                <c:pt idx="2">
                  <c:v>80</c:v>
                </c:pt>
                <c:pt idx="3">
                  <c:v>65</c:v>
                </c:pt>
                <c:pt idx="4">
                  <c:v>67</c:v>
                </c:pt>
                <c:pt idx="5">
                  <c:v>95</c:v>
                </c:pt>
                <c:pt idx="6">
                  <c:v>146</c:v>
                </c:pt>
                <c:pt idx="7">
                  <c:v>142</c:v>
                </c:pt>
                <c:pt idx="8">
                  <c:v>140</c:v>
                </c:pt>
                <c:pt idx="9">
                  <c:v>157</c:v>
                </c:pt>
                <c:pt idx="10">
                  <c:v>158</c:v>
                </c:pt>
                <c:pt idx="11">
                  <c:v>174</c:v>
                </c:pt>
                <c:pt idx="12">
                  <c:v>131</c:v>
                </c:pt>
                <c:pt idx="13">
                  <c:v>135</c:v>
                </c:pt>
                <c:pt idx="14">
                  <c:v>122</c:v>
                </c:pt>
                <c:pt idx="15">
                  <c:v>120</c:v>
                </c:pt>
                <c:pt idx="16">
                  <c:v>135</c:v>
                </c:pt>
                <c:pt idx="17">
                  <c:v>125</c:v>
                </c:pt>
                <c:pt idx="18">
                  <c:v>135</c:v>
                </c:pt>
                <c:pt idx="19">
                  <c:v>133</c:v>
                </c:pt>
                <c:pt idx="20">
                  <c:v>99</c:v>
                </c:pt>
                <c:pt idx="21">
                  <c:v>76</c:v>
                </c:pt>
                <c:pt idx="22">
                  <c:v>103</c:v>
                </c:pt>
                <c:pt idx="23">
                  <c:v>80</c:v>
                </c:pt>
                <c:pt idx="24">
                  <c:v>71</c:v>
                </c:pt>
                <c:pt idx="25">
                  <c:v>49</c:v>
                </c:pt>
                <c:pt idx="26">
                  <c:v>105</c:v>
                </c:pt>
                <c:pt idx="27">
                  <c:v>80</c:v>
                </c:pt>
                <c:pt idx="28">
                  <c:v>100</c:v>
                </c:pt>
                <c:pt idx="29">
                  <c:v>80</c:v>
                </c:pt>
                <c:pt idx="30">
                  <c:v>73</c:v>
                </c:pt>
                <c:pt idx="31" formatCode="0">
                  <c:v>63.666666666666664</c:v>
                </c:pt>
                <c:pt idx="32">
                  <c:v>66</c:v>
                </c:pt>
                <c:pt idx="33">
                  <c:v>51</c:v>
                </c:pt>
                <c:pt idx="34">
                  <c:v>89</c:v>
                </c:pt>
                <c:pt idx="35">
                  <c:v>65</c:v>
                </c:pt>
                <c:pt idx="36">
                  <c:v>62</c:v>
                </c:pt>
                <c:pt idx="37">
                  <c:v>70</c:v>
                </c:pt>
                <c:pt idx="38">
                  <c:v>82</c:v>
                </c:pt>
                <c:pt idx="39">
                  <c:v>68</c:v>
                </c:pt>
                <c:pt idx="40">
                  <c:v>75</c:v>
                </c:pt>
                <c:pt idx="41">
                  <c:v>65</c:v>
                </c:pt>
                <c:pt idx="42">
                  <c:v>75</c:v>
                </c:pt>
                <c:pt idx="43">
                  <c:v>70</c:v>
                </c:pt>
                <c:pt idx="44">
                  <c:v>85</c:v>
                </c:pt>
                <c:pt idx="45">
                  <c:v>77</c:v>
                </c:pt>
                <c:pt idx="46">
                  <c:v>73</c:v>
                </c:pt>
                <c:pt idx="47">
                  <c:v>90</c:v>
                </c:pt>
                <c:pt idx="48">
                  <c:v>76</c:v>
                </c:pt>
                <c:pt idx="49">
                  <c:v>65</c:v>
                </c:pt>
                <c:pt idx="50">
                  <c:v>70</c:v>
                </c:pt>
                <c:pt idx="51">
                  <c:v>70</c:v>
                </c:pt>
                <c:pt idx="52">
                  <c:v>70</c:v>
                </c:pt>
                <c:pt idx="53">
                  <c:v>66</c:v>
                </c:pt>
                <c:pt idx="54">
                  <c:v>95</c:v>
                </c:pt>
                <c:pt idx="55">
                  <c:v>75</c:v>
                </c:pt>
                <c:pt idx="56">
                  <c:v>70</c:v>
                </c:pt>
                <c:pt idx="57">
                  <c:v>82</c:v>
                </c:pt>
                <c:pt idx="58">
                  <c:v>95</c:v>
                </c:pt>
                <c:pt idx="59">
                  <c:v>110</c:v>
                </c:pt>
                <c:pt idx="60">
                  <c:v>115</c:v>
                </c:pt>
                <c:pt idx="61">
                  <c:v>96</c:v>
                </c:pt>
                <c:pt idx="62">
                  <c:v>103</c:v>
                </c:pt>
                <c:pt idx="63">
                  <c:v>108</c:v>
                </c:pt>
                <c:pt idx="64">
                  <c:v>125</c:v>
                </c:pt>
                <c:pt idx="65">
                  <c:v>124</c:v>
                </c:pt>
                <c:pt idx="66">
                  <c:v>99</c:v>
                </c:pt>
                <c:pt idx="67">
                  <c:v>104</c:v>
                </c:pt>
                <c:pt idx="68">
                  <c:v>172</c:v>
                </c:pt>
                <c:pt idx="69">
                  <c:v>142</c:v>
                </c:pt>
                <c:pt idx="70">
                  <c:v>147</c:v>
                </c:pt>
                <c:pt idx="71">
                  <c:v>153</c:v>
                </c:pt>
                <c:pt idx="72">
                  <c:v>150</c:v>
                </c:pt>
                <c:pt idx="73">
                  <c:v>155</c:v>
                </c:pt>
                <c:pt idx="74">
                  <c:v>153</c:v>
                </c:pt>
              </c:numCache>
            </c:numRef>
          </c:val>
          <c:extLst>
            <c:ext xmlns:c16="http://schemas.microsoft.com/office/drawing/2014/chart" uri="{C3380CC4-5D6E-409C-BE32-E72D297353CC}">
              <c16:uniqueId val="{00000001-30EE-41B5-9081-8D52E07893CE}"/>
            </c:ext>
          </c:extLst>
        </c:ser>
        <c:dLbls>
          <c:showLegendKey val="0"/>
          <c:showVal val="1"/>
          <c:showCatName val="0"/>
          <c:showSerName val="0"/>
          <c:showPercent val="0"/>
          <c:showBubbleSize val="0"/>
        </c:dLbls>
        <c:gapWidth val="444"/>
        <c:overlap val="-90"/>
        <c:axId val="220888448"/>
        <c:axId val="220902528"/>
      </c:barChart>
      <c:catAx>
        <c:axId val="220888448"/>
        <c:scaling>
          <c:orientation val="minMax"/>
        </c:scaling>
        <c:delete val="0"/>
        <c:axPos val="b"/>
        <c:numFmt formatCode="General" sourceLinked="1"/>
        <c:majorTickMark val="none"/>
        <c:minorTickMark val="none"/>
        <c:tickLblPos val="nextTo"/>
        <c:spPr>
          <a:noFill/>
          <a:ln w="9525" cap="flat" cmpd="sng" algn="ctr">
            <a:solidFill>
              <a:schemeClr val="tx1">
                <a:tint val="75000"/>
                <a:shade val="95000"/>
                <a:satMod val="105000"/>
              </a:schemeClr>
            </a:solidFill>
            <a:prstDash val="solid"/>
            <a:round/>
          </a:ln>
          <a:effectLst/>
        </c:spPr>
        <c:txPr>
          <a:bodyPr rot="-2700000" spcFirstLastPara="1" vertOverflow="ellipsis" wrap="square" anchor="ctr" anchorCtr="1"/>
          <a:lstStyle/>
          <a:p>
            <a:pPr>
              <a:defRPr sz="800" b="0" i="0" u="none" strike="noStrike" kern="1200" baseline="0">
                <a:solidFill>
                  <a:schemeClr val="tx1"/>
                </a:solidFill>
                <a:latin typeface="+mn-lt"/>
                <a:ea typeface="+mn-ea"/>
                <a:cs typeface="+mn-cs"/>
              </a:defRPr>
            </a:pPr>
            <a:endParaRPr lang="en-US"/>
          </a:p>
        </c:txPr>
        <c:crossAx val="220902528"/>
        <c:crosses val="autoZero"/>
        <c:auto val="1"/>
        <c:lblAlgn val="ctr"/>
        <c:lblOffset val="100"/>
        <c:tickLblSkip val="1"/>
        <c:tickMarkSkip val="1"/>
        <c:noMultiLvlLbl val="0"/>
      </c:catAx>
      <c:valAx>
        <c:axId val="220902528"/>
        <c:scaling>
          <c:orientation val="minMax"/>
        </c:scaling>
        <c:delete val="1"/>
        <c:axPos val="l"/>
        <c:numFmt formatCode="General" sourceLinked="1"/>
        <c:majorTickMark val="none"/>
        <c:minorTickMark val="none"/>
        <c:tickLblPos val="none"/>
        <c:crossAx val="220888448"/>
        <c:crosses val="autoZero"/>
        <c:crossBetween val="between"/>
      </c:valAx>
      <c:spPr>
        <a:solidFill>
          <a:schemeClr val="bg1"/>
        </a:solidFill>
        <a:ln>
          <a:noFill/>
        </a:ln>
        <a:effectLst/>
      </c:spPr>
    </c:plotArea>
    <c:plotVisOnly val="1"/>
    <c:dispBlanksAs val="gap"/>
    <c:showDLblsOverMax val="0"/>
  </c:chart>
  <c:spPr>
    <a:solidFill>
      <a:schemeClr val="bg1"/>
    </a:solidFill>
    <a:ln w="9525" cap="flat" cmpd="sng" algn="ctr">
      <a:solidFill>
        <a:schemeClr val="tx1">
          <a:tint val="75000"/>
          <a:shade val="95000"/>
          <a:satMod val="105000"/>
        </a:schemeClr>
      </a:solidFill>
      <a:prstDash val="solid"/>
      <a:round/>
    </a:ln>
    <a:effectLst/>
  </c:spPr>
  <c:txPr>
    <a:bodyPr/>
    <a:lstStyle/>
    <a:p>
      <a:pPr>
        <a:defRPr/>
      </a:pPr>
      <a:endParaRPr lang="en-US"/>
    </a:p>
  </c:txPr>
  <c:externalData r:id="rId3">
    <c:autoUpdate val="0"/>
  </c:externalData>
  <c:userShapes r:id="rId4"/>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rot="0" spcFirstLastPara="1" vertOverflow="ellipsis" vert="horz" wrap="square" anchor="ctr" anchorCtr="1"/>
          <a:lstStyle/>
          <a:p>
            <a:pPr>
              <a:defRPr sz="1800" b="1" i="0" u="none" strike="noStrike" kern="1200" baseline="0">
                <a:solidFill>
                  <a:schemeClr val="tx1"/>
                </a:solidFill>
                <a:latin typeface="+mn-lt"/>
                <a:ea typeface="+mn-ea"/>
                <a:cs typeface="+mn-cs"/>
              </a:defRPr>
            </a:pPr>
            <a:r>
              <a:rPr lang="en-US"/>
              <a:t>Average Number</a:t>
            </a:r>
            <a:r>
              <a:rPr lang="en-US" baseline="0"/>
              <a:t> of Land P</a:t>
            </a:r>
            <a:r>
              <a:rPr lang="en-US"/>
              <a:t>arcels Sold per Month</a:t>
            </a:r>
          </a:p>
          <a:p>
            <a:pPr>
              <a:defRPr/>
            </a:pPr>
            <a:r>
              <a:rPr lang="en-US"/>
              <a:t>Comparing 3rd Quarter Only
2004 - 2022</a:t>
            </a:r>
          </a:p>
        </c:rich>
      </c:tx>
      <c:layout>
        <c:manualLayout>
          <c:xMode val="edge"/>
          <c:yMode val="edge"/>
          <c:x val="0.213091426071741"/>
          <c:y val="2.1717695557697914E-2"/>
        </c:manualLayout>
      </c:layout>
      <c:overlay val="0"/>
      <c:spPr>
        <a:noFill/>
        <a:ln>
          <a:noFill/>
        </a:ln>
        <a:effectLst/>
      </c:spPr>
      <c:txPr>
        <a:bodyPr rot="0" spcFirstLastPara="1" vertOverflow="ellipsis" vert="horz" wrap="square" anchor="ctr" anchorCtr="1"/>
        <a:lstStyle/>
        <a:p>
          <a:pPr>
            <a:defRPr sz="1800" b="1" i="0" u="none" strike="noStrike" kern="1200" baseline="0">
              <a:solidFill>
                <a:schemeClr val="tx1"/>
              </a:solidFill>
              <a:latin typeface="+mn-lt"/>
              <a:ea typeface="+mn-ea"/>
              <a:cs typeface="+mn-cs"/>
            </a:defRPr>
          </a:pPr>
          <a:endParaRPr lang="en-US"/>
        </a:p>
      </c:txPr>
    </c:title>
    <c:autoTitleDeleted val="0"/>
    <c:plotArea>
      <c:layout>
        <c:manualLayout>
          <c:layoutTarget val="inner"/>
          <c:xMode val="edge"/>
          <c:yMode val="edge"/>
          <c:x val="5.4384017758049921E-2"/>
          <c:y val="0.10331702011963018"/>
          <c:w val="0.94339622641513243"/>
          <c:h val="0.77324632952691652"/>
        </c:manualLayout>
      </c:layout>
      <c:barChart>
        <c:barDir val="col"/>
        <c:grouping val="clustered"/>
        <c:varyColors val="0"/>
        <c:ser>
          <c:idx val="0"/>
          <c:order val="0"/>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Lbl>
              <c:idx val="15"/>
              <c:layout>
                <c:manualLayout>
                  <c:x val="1.242675888302905E-16"/>
                  <c:y val="-9.4444453740158505E-3"/>
                </c:manualLayout>
              </c:layout>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03E4-4217-88F4-224072E63CBE}"/>
                </c:ext>
              </c:extLst>
            </c:dLbl>
            <c:dLbl>
              <c:idx val="18"/>
              <c:spPr>
                <a:noFill/>
                <a:ln>
                  <a:noFill/>
                </a:ln>
                <a:effectLst/>
              </c:spPr>
              <c:txPr>
                <a:bodyPr rot="0" spcFirstLastPara="1" vertOverflow="ellipsis" vert="horz" wrap="square" anchor="ctr" anchorCtr="1"/>
                <a:lstStyle/>
                <a:p>
                  <a:pPr>
                    <a:defRPr sz="1800" b="1"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extLst>
                <c:ext xmlns:c16="http://schemas.microsoft.com/office/drawing/2014/chart" uri="{C3380CC4-5D6E-409C-BE32-E72D297353CC}">
                  <c16:uniqueId val="{00000001-03E4-4217-88F4-224072E63CBE}"/>
                </c:ext>
              </c:extLst>
            </c:dLbl>
            <c:dLbl>
              <c:idx val="32"/>
              <c:tx>
                <c:rich>
                  <a:bodyPr/>
                  <a:lstStyle/>
                  <a:p>
                    <a:r>
                      <a:rPr lang="en-US" sz="1100" b="0"/>
                      <a:t>1</a:t>
                    </a:r>
                    <a:r>
                      <a:rPr lang="en-US"/>
                      <a:t>9</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03E4-4217-88F4-224072E63CBE}"/>
                </c:ext>
              </c:extLst>
            </c:dLbl>
            <c:spPr>
              <a:noFill/>
              <a:ln>
                <a:noFill/>
              </a:ln>
              <a:effectLst/>
            </c:spPr>
            <c:txPr>
              <a:bodyPr rot="0" spcFirstLastPara="1" vertOverflow="ellipsis" vert="horz" wrap="square" anchor="ctr" anchorCtr="1"/>
              <a:lstStyle/>
              <a:p>
                <a:pPr>
                  <a:defRPr sz="1100" b="0"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'[3rd Qtr 2022.xlsx]Qtr &amp; Yrly Sheet'!$F$8,'[3rd Qtr 2022.xlsx]Qtr &amp; Yrly Sheet'!$F$12,'[3rd Qtr 2022.xlsx]Qtr &amp; Yrly Sheet'!$F$16,'[3rd Qtr 2022.xlsx]Qtr &amp; Yrly Sheet'!$F$20,'[3rd Qtr 2022.xlsx]Qtr &amp; Yrly Sheet'!$F$24,'[3rd Qtr 2022.xlsx]Qtr &amp; Yrly Sheet'!$F$28,'[3rd Qtr 2022.xlsx]Qtr &amp; Yrly Sheet'!$F$32,'[3rd Qtr 2022.xlsx]Qtr &amp; Yrly Sheet'!$F$36,'[3rd Qtr 2022.xlsx]Qtr &amp; Yrly Sheet'!$F$40,'[3rd Qtr 2022.xlsx]Qtr &amp; Yrly Sheet'!$F$44,'[3rd Qtr 2022.xlsx]Qtr &amp; Yrly Sheet'!$F$48,'[3rd Qtr 2022.xlsx]Qtr &amp; Yrly Sheet'!$F$52,'[3rd Qtr 2022.xlsx]Qtr &amp; Yrly Sheet'!$F$56,'[3rd Qtr 2022.xlsx]Qtr &amp; Yrly Sheet'!$F$60,'[3rd Qtr 2022.xlsx]Qtr &amp; Yrly Sheet'!$F$64,'[3rd Qtr 2022.xlsx]Qtr &amp; Yrly Sheet'!$F$68,'[3rd Qtr 2022.xlsx]Qtr &amp; Yrly Sheet'!$F$72,'[3rd Qtr 2022.xlsx]Qtr &amp; Yrly Sheet'!$F$76,'[3rd Qtr 2022.xlsx]Qtr &amp; Yrly Sheet'!$F$80</c:f>
              <c:strCache>
                <c:ptCount val="19"/>
                <c:pt idx="0">
                  <c:v>2004-3</c:v>
                </c:pt>
                <c:pt idx="1">
                  <c:v>2005-3</c:v>
                </c:pt>
                <c:pt idx="2">
                  <c:v>2006-3</c:v>
                </c:pt>
                <c:pt idx="3">
                  <c:v>2007-3</c:v>
                </c:pt>
                <c:pt idx="4">
                  <c:v>2008-3</c:v>
                </c:pt>
                <c:pt idx="5">
                  <c:v>2009-3</c:v>
                </c:pt>
                <c:pt idx="6">
                  <c:v>2010-3</c:v>
                </c:pt>
                <c:pt idx="7">
                  <c:v>2011-3</c:v>
                </c:pt>
                <c:pt idx="8">
                  <c:v>2012-3</c:v>
                </c:pt>
                <c:pt idx="9">
                  <c:v>2013-3</c:v>
                </c:pt>
                <c:pt idx="10">
                  <c:v>2014-3</c:v>
                </c:pt>
                <c:pt idx="11">
                  <c:v>2015-3</c:v>
                </c:pt>
                <c:pt idx="12">
                  <c:v>2016-3</c:v>
                </c:pt>
                <c:pt idx="13">
                  <c:v>2017-3</c:v>
                </c:pt>
                <c:pt idx="14">
                  <c:v>2018-3</c:v>
                </c:pt>
                <c:pt idx="15">
                  <c:v>2019-3</c:v>
                </c:pt>
                <c:pt idx="16">
                  <c:v>2020-3</c:v>
                </c:pt>
                <c:pt idx="17">
                  <c:v>2021-3</c:v>
                </c:pt>
                <c:pt idx="18">
                  <c:v>2022-3</c:v>
                </c:pt>
              </c:strCache>
            </c:strRef>
          </c:cat>
          <c:val>
            <c:numRef>
              <c:f>'[3rd Qtr 2022.xlsx]Qtr &amp; Yrly Sheet'!$G$8,'[3rd Qtr 2022.xlsx]Qtr &amp; Yrly Sheet'!$G$12,'[3rd Qtr 2022.xlsx]Qtr &amp; Yrly Sheet'!$G$16,'[3rd Qtr 2022.xlsx]Qtr &amp; Yrly Sheet'!$G$20,'[3rd Qtr 2022.xlsx]Qtr &amp; Yrly Sheet'!$G$24,'[3rd Qtr 2022.xlsx]Qtr &amp; Yrly Sheet'!$G$28,'[3rd Qtr 2022.xlsx]Qtr &amp; Yrly Sheet'!$G$32,'[3rd Qtr 2022.xlsx]Qtr &amp; Yrly Sheet'!$G$36,'[3rd Qtr 2022.xlsx]Qtr &amp; Yrly Sheet'!$G$40,'[3rd Qtr 2022.xlsx]Qtr &amp; Yrly Sheet'!$G$44,'[3rd Qtr 2022.xlsx]Qtr &amp; Yrly Sheet'!$G$48,'[3rd Qtr 2022.xlsx]Qtr &amp; Yrly Sheet'!$G$52,'[3rd Qtr 2022.xlsx]Qtr &amp; Yrly Sheet'!$G$56,'[3rd Qtr 2022.xlsx]Qtr &amp; Yrly Sheet'!$G$60,'[3rd Qtr 2022.xlsx]Qtr &amp; Yrly Sheet'!$G$64,'[3rd Qtr 2022.xlsx]Qtr &amp; Yrly Sheet'!$G$68,'[3rd Qtr 2022.xlsx]Qtr &amp; Yrly Sheet'!$G$72,'[3rd Qtr 2022.xlsx]Qtr &amp; Yrly Sheet'!$G$76,'[3rd Qtr 2022.xlsx]Qtr &amp; Yrly Sheet'!$G$80</c:f>
              <c:numCache>
                <c:formatCode>General</c:formatCode>
                <c:ptCount val="19"/>
                <c:pt idx="0">
                  <c:v>32</c:v>
                </c:pt>
                <c:pt idx="1">
                  <c:v>25</c:v>
                </c:pt>
                <c:pt idx="2">
                  <c:v>17</c:v>
                </c:pt>
                <c:pt idx="3">
                  <c:v>16</c:v>
                </c:pt>
                <c:pt idx="4">
                  <c:v>8</c:v>
                </c:pt>
                <c:pt idx="5">
                  <c:v>10</c:v>
                </c:pt>
                <c:pt idx="6">
                  <c:v>5</c:v>
                </c:pt>
                <c:pt idx="7">
                  <c:v>9</c:v>
                </c:pt>
                <c:pt idx="8">
                  <c:v>9</c:v>
                </c:pt>
                <c:pt idx="9">
                  <c:v>14</c:v>
                </c:pt>
                <c:pt idx="10">
                  <c:v>13</c:v>
                </c:pt>
                <c:pt idx="11">
                  <c:v>18</c:v>
                </c:pt>
                <c:pt idx="12">
                  <c:v>20</c:v>
                </c:pt>
                <c:pt idx="13">
                  <c:v>25</c:v>
                </c:pt>
                <c:pt idx="14">
                  <c:v>17</c:v>
                </c:pt>
                <c:pt idx="15">
                  <c:v>18</c:v>
                </c:pt>
                <c:pt idx="16">
                  <c:v>26</c:v>
                </c:pt>
                <c:pt idx="17">
                  <c:v>17</c:v>
                </c:pt>
                <c:pt idx="18">
                  <c:v>12</c:v>
                </c:pt>
              </c:numCache>
            </c:numRef>
          </c:val>
          <c:extLst>
            <c:ext xmlns:c16="http://schemas.microsoft.com/office/drawing/2014/chart" uri="{C3380CC4-5D6E-409C-BE32-E72D297353CC}">
              <c16:uniqueId val="{00000003-03E4-4217-88F4-224072E63CBE}"/>
            </c:ext>
          </c:extLst>
        </c:ser>
        <c:dLbls>
          <c:showLegendKey val="0"/>
          <c:showVal val="0"/>
          <c:showCatName val="0"/>
          <c:showSerName val="0"/>
          <c:showPercent val="0"/>
          <c:showBubbleSize val="0"/>
        </c:dLbls>
        <c:gapWidth val="135"/>
        <c:axId val="221163520"/>
        <c:axId val="221165056"/>
      </c:barChart>
      <c:catAx>
        <c:axId val="221163520"/>
        <c:scaling>
          <c:orientation val="minMax"/>
        </c:scaling>
        <c:delete val="0"/>
        <c:axPos val="b"/>
        <c:numFmt formatCode="General" sourceLinked="1"/>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2700000" spcFirstLastPara="1" vertOverflow="ellipsis" wrap="square" anchor="ctr" anchorCtr="1"/>
          <a:lstStyle/>
          <a:p>
            <a:pPr>
              <a:defRPr sz="1000" b="0" i="0" u="none" strike="noStrike" kern="1200" baseline="0">
                <a:solidFill>
                  <a:schemeClr val="tx1"/>
                </a:solidFill>
                <a:latin typeface="+mn-lt"/>
                <a:ea typeface="+mn-ea"/>
                <a:cs typeface="+mn-cs"/>
              </a:defRPr>
            </a:pPr>
            <a:endParaRPr lang="en-US"/>
          </a:p>
        </c:txPr>
        <c:crossAx val="221165056"/>
        <c:crosses val="autoZero"/>
        <c:auto val="1"/>
        <c:lblAlgn val="ctr"/>
        <c:lblOffset val="100"/>
        <c:tickLblSkip val="1"/>
        <c:tickMarkSkip val="1"/>
        <c:noMultiLvlLbl val="0"/>
      </c:catAx>
      <c:valAx>
        <c:axId val="221165056"/>
        <c:scaling>
          <c:orientation val="minMax"/>
        </c:scaling>
        <c:delete val="0"/>
        <c:axPos val="l"/>
        <c:numFmt formatCode="General" sourceLinked="1"/>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0" spcFirstLastPara="1" vertOverflow="ellipsis" wrap="square" anchor="ctr" anchorCtr="1"/>
          <a:lstStyle/>
          <a:p>
            <a:pPr>
              <a:defRPr sz="1000" b="0" i="0" u="none" strike="noStrike" kern="1200" baseline="0">
                <a:solidFill>
                  <a:schemeClr val="tx1"/>
                </a:solidFill>
                <a:latin typeface="+mn-lt"/>
                <a:ea typeface="+mn-ea"/>
                <a:cs typeface="+mn-cs"/>
              </a:defRPr>
            </a:pPr>
            <a:endParaRPr lang="en-US"/>
          </a:p>
        </c:txPr>
        <c:crossAx val="221163520"/>
        <c:crosses val="autoZero"/>
        <c:crossBetween val="between"/>
      </c:valAx>
      <c:spPr>
        <a:solidFill>
          <a:schemeClr val="bg1"/>
        </a:solidFill>
        <a:ln>
          <a:noFill/>
        </a:ln>
        <a:effectLst/>
      </c:spPr>
    </c:plotArea>
    <c:plotVisOnly val="0"/>
    <c:dispBlanksAs val="gap"/>
    <c:showDLblsOverMax val="0"/>
  </c:chart>
  <c:spPr>
    <a:solidFill>
      <a:schemeClr val="bg1"/>
    </a:solidFill>
    <a:ln w="9525" cap="flat" cmpd="sng" algn="ctr">
      <a:solidFill>
        <a:schemeClr val="tx1">
          <a:tint val="75000"/>
          <a:shade val="95000"/>
          <a:satMod val="105000"/>
        </a:schemeClr>
      </a:solidFill>
      <a:prstDash val="solid"/>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rot="0" spcFirstLastPara="1" vertOverflow="ellipsis" vert="horz" wrap="square" anchor="ctr" anchorCtr="1"/>
          <a:lstStyle/>
          <a:p>
            <a:pPr>
              <a:defRPr sz="1800" b="1" i="0" u="none" strike="noStrike" kern="1200" baseline="0">
                <a:solidFill>
                  <a:schemeClr val="tx1"/>
                </a:solidFill>
                <a:latin typeface="+mn-lt"/>
                <a:ea typeface="+mn-ea"/>
                <a:cs typeface="+mn-cs"/>
              </a:defRPr>
            </a:pPr>
            <a:r>
              <a:rPr lang="en-US"/>
              <a:t>Average Number of Land Parcels for Sale per Month </a:t>
            </a:r>
          </a:p>
          <a:p>
            <a:pPr>
              <a:defRPr/>
            </a:pPr>
            <a:r>
              <a:rPr lang="en-US"/>
              <a:t>Comparing 3rd Quarter Only</a:t>
            </a:r>
          </a:p>
          <a:p>
            <a:pPr>
              <a:defRPr/>
            </a:pPr>
            <a:r>
              <a:rPr lang="en-US"/>
              <a:t>2005 - 2022</a:t>
            </a:r>
          </a:p>
        </c:rich>
      </c:tx>
      <c:layout>
        <c:manualLayout>
          <c:xMode val="edge"/>
          <c:yMode val="edge"/>
          <c:x val="0.24209391640773681"/>
          <c:y val="3.7944038963185572E-2"/>
        </c:manualLayout>
      </c:layout>
      <c:overlay val="0"/>
      <c:spPr>
        <a:noFill/>
        <a:ln>
          <a:noFill/>
        </a:ln>
        <a:effectLst/>
      </c:spPr>
      <c:txPr>
        <a:bodyPr rot="0" spcFirstLastPara="1" vertOverflow="ellipsis" vert="horz" wrap="square" anchor="ctr" anchorCtr="1"/>
        <a:lstStyle/>
        <a:p>
          <a:pPr>
            <a:defRPr sz="1800" b="1" i="0" u="none" strike="noStrike" kern="1200" baseline="0">
              <a:solidFill>
                <a:schemeClr val="tx1"/>
              </a:solidFill>
              <a:latin typeface="+mn-lt"/>
              <a:ea typeface="+mn-ea"/>
              <a:cs typeface="+mn-cs"/>
            </a:defRPr>
          </a:pPr>
          <a:endParaRPr lang="en-US"/>
        </a:p>
      </c:txPr>
    </c:title>
    <c:autoTitleDeleted val="0"/>
    <c:plotArea>
      <c:layout>
        <c:manualLayout>
          <c:layoutTarget val="inner"/>
          <c:xMode val="edge"/>
          <c:yMode val="edge"/>
          <c:x val="4.7724750277469467E-2"/>
          <c:y val="0.14029363784665591"/>
          <c:w val="0.94117647058823561"/>
          <c:h val="0.74714518760195769"/>
        </c:manualLayout>
      </c:layout>
      <c:barChart>
        <c:barDir val="col"/>
        <c:grouping val="clustered"/>
        <c:varyColors val="0"/>
        <c:ser>
          <c:idx val="0"/>
          <c:order val="0"/>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Lbl>
              <c:idx val="17"/>
              <c:spPr>
                <a:noFill/>
                <a:ln>
                  <a:noFill/>
                </a:ln>
                <a:effectLst/>
              </c:spPr>
              <c:txPr>
                <a:bodyPr rot="-5400000" spcFirstLastPara="1" vertOverflow="ellipsis" wrap="square" anchor="ctr" anchorCtr="1"/>
                <a:lstStyle/>
                <a:p>
                  <a:pPr>
                    <a:defRPr sz="1800" b="1"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extLst>
                <c:ext xmlns:c16="http://schemas.microsoft.com/office/drawing/2014/chart" uri="{C3380CC4-5D6E-409C-BE32-E72D297353CC}">
                  <c16:uniqueId val="{00000000-A24F-45D7-9E05-CC796F2EAB2A}"/>
                </c:ext>
              </c:extLst>
            </c:dLbl>
            <c:spPr>
              <a:noFill/>
              <a:ln>
                <a:noFill/>
              </a:ln>
              <a:effectLst/>
            </c:spPr>
            <c:txPr>
              <a:bodyPr rot="-5400000" spcFirstLastPara="1" vertOverflow="ellipsis" wrap="square" anchor="ctr" anchorCtr="1"/>
              <a:lstStyle/>
              <a:p>
                <a:pPr>
                  <a:defRPr sz="1000" b="0"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'[3rd Qtr 2022.xlsx]Qtr &amp; Yrly Sheet'!$F$12,'[3rd Qtr 2022.xlsx]Qtr &amp; Yrly Sheet'!$F$16,'[3rd Qtr 2022.xlsx]Qtr &amp; Yrly Sheet'!$F$20,'[3rd Qtr 2022.xlsx]Qtr &amp; Yrly Sheet'!$F$24,'[3rd Qtr 2022.xlsx]Qtr &amp; Yrly Sheet'!$F$28,'[3rd Qtr 2022.xlsx]Qtr &amp; Yrly Sheet'!$F$32,'[3rd Qtr 2022.xlsx]Qtr &amp; Yrly Sheet'!$F$36,'[3rd Qtr 2022.xlsx]Qtr &amp; Yrly Sheet'!$F$40,'[3rd Qtr 2022.xlsx]Qtr &amp; Yrly Sheet'!$F$44,'[3rd Qtr 2022.xlsx]Qtr &amp; Yrly Sheet'!$F$48,'[3rd Qtr 2022.xlsx]Qtr &amp; Yrly Sheet'!$F$52,'[3rd Qtr 2022.xlsx]Qtr &amp; Yrly Sheet'!$F$56,'[3rd Qtr 2022.xlsx]Qtr &amp; Yrly Sheet'!$F$60,'[3rd Qtr 2022.xlsx]Qtr &amp; Yrly Sheet'!$F$64,'[3rd Qtr 2022.xlsx]Qtr &amp; Yrly Sheet'!$F$68,'[3rd Qtr 2022.xlsx]Qtr &amp; Yrly Sheet'!$F$72,'[3rd Qtr 2022.xlsx]Qtr &amp; Yrly Sheet'!$F$76,'[3rd Qtr 2022.xlsx]Qtr &amp; Yrly Sheet'!$F$80</c:f>
              <c:strCache>
                <c:ptCount val="18"/>
                <c:pt idx="0">
                  <c:v>2005-3</c:v>
                </c:pt>
                <c:pt idx="1">
                  <c:v>2006-3</c:v>
                </c:pt>
                <c:pt idx="2">
                  <c:v>2007-3</c:v>
                </c:pt>
                <c:pt idx="3">
                  <c:v>2008-3</c:v>
                </c:pt>
                <c:pt idx="4">
                  <c:v>2009-3</c:v>
                </c:pt>
                <c:pt idx="5">
                  <c:v>2010-3</c:v>
                </c:pt>
                <c:pt idx="6">
                  <c:v>2011-3</c:v>
                </c:pt>
                <c:pt idx="7">
                  <c:v>2012-3</c:v>
                </c:pt>
                <c:pt idx="8">
                  <c:v>2013-3</c:v>
                </c:pt>
                <c:pt idx="9">
                  <c:v>2014-3</c:v>
                </c:pt>
                <c:pt idx="10">
                  <c:v>2015-3</c:v>
                </c:pt>
                <c:pt idx="11">
                  <c:v>2016-3</c:v>
                </c:pt>
                <c:pt idx="12">
                  <c:v>2017-3</c:v>
                </c:pt>
                <c:pt idx="13">
                  <c:v>2018-3</c:v>
                </c:pt>
                <c:pt idx="14">
                  <c:v>2019-3</c:v>
                </c:pt>
                <c:pt idx="15">
                  <c:v>2020-3</c:v>
                </c:pt>
                <c:pt idx="16">
                  <c:v>2021-3</c:v>
                </c:pt>
                <c:pt idx="17">
                  <c:v>2022-3</c:v>
                </c:pt>
              </c:strCache>
            </c:strRef>
          </c:cat>
          <c:val>
            <c:numRef>
              <c:f>'[3rd Qtr 2022.xlsx]Qtr &amp; Yrly Sheet'!$I$8,'[3rd Qtr 2022.xlsx]Qtr &amp; Yrly Sheet'!$I$12,'[3rd Qtr 2022.xlsx]Qtr &amp; Yrly Sheet'!$I$16,'[3rd Qtr 2022.xlsx]Qtr &amp; Yrly Sheet'!$I$20,'[3rd Qtr 2022.xlsx]Qtr &amp; Yrly Sheet'!$I$24,'[3rd Qtr 2022.xlsx]Qtr &amp; Yrly Sheet'!$I$28,'[3rd Qtr 2022.xlsx]Qtr &amp; Yrly Sheet'!$I$32,'[3rd Qtr 2022.xlsx]Qtr &amp; Yrly Sheet'!$I$36,'[3rd Qtr 2022.xlsx]Qtr &amp; Yrly Sheet'!$I$40,'[3rd Qtr 2022.xlsx]Qtr &amp; Yrly Sheet'!$I$44,'[3rd Qtr 2022.xlsx]Qtr &amp; Yrly Sheet'!$I$48,'[3rd Qtr 2022.xlsx]Qtr &amp; Yrly Sheet'!$I$52,'[3rd Qtr 2022.xlsx]Qtr &amp; Yrly Sheet'!$I$58,'[3rd Qtr 2022.xlsx]Qtr &amp; Yrly Sheet'!$I$64,'[3rd Qtr 2022.xlsx]Qtr &amp; Yrly Sheet'!$I$68,'[3rd Qtr 2022.xlsx]Qtr &amp; Yrly Sheet'!$I$72,'[3rd Qtr 2022.xlsx]Qtr &amp; Yrly Sheet'!$I$76,'[3rd Qtr 2022.xlsx]Qtr &amp; Yrly Sheet'!$I$80</c:f>
              <c:numCache>
                <c:formatCode>0</c:formatCode>
                <c:ptCount val="18"/>
                <c:pt idx="0">
                  <c:v>151</c:v>
                </c:pt>
                <c:pt idx="1">
                  <c:v>145.666666666667</c:v>
                </c:pt>
                <c:pt idx="2">
                  <c:v>452.33333333333331</c:v>
                </c:pt>
                <c:pt idx="3">
                  <c:v>560.66666666666663</c:v>
                </c:pt>
                <c:pt idx="4">
                  <c:v>547.33333333333337</c:v>
                </c:pt>
                <c:pt idx="5">
                  <c:v>614.66666666666663</c:v>
                </c:pt>
                <c:pt idx="6">
                  <c:v>582</c:v>
                </c:pt>
                <c:pt idx="7">
                  <c:v>545</c:v>
                </c:pt>
                <c:pt idx="8" formatCode="General">
                  <c:v>500</c:v>
                </c:pt>
                <c:pt idx="9">
                  <c:v>499</c:v>
                </c:pt>
                <c:pt idx="10">
                  <c:v>477</c:v>
                </c:pt>
                <c:pt idx="11">
                  <c:v>457</c:v>
                </c:pt>
                <c:pt idx="12" formatCode="General">
                  <c:v>313</c:v>
                </c:pt>
                <c:pt idx="13" formatCode="General">
                  <c:v>274</c:v>
                </c:pt>
                <c:pt idx="14" formatCode="General">
                  <c:v>215</c:v>
                </c:pt>
                <c:pt idx="15" formatCode="General">
                  <c:v>182</c:v>
                </c:pt>
                <c:pt idx="16" formatCode="General">
                  <c:v>97</c:v>
                </c:pt>
                <c:pt idx="17" formatCode="General">
                  <c:v>130</c:v>
                </c:pt>
              </c:numCache>
            </c:numRef>
          </c:val>
          <c:extLst>
            <c:ext xmlns:c16="http://schemas.microsoft.com/office/drawing/2014/chart" uri="{C3380CC4-5D6E-409C-BE32-E72D297353CC}">
              <c16:uniqueId val="{00000001-A24F-45D7-9E05-CC796F2EAB2A}"/>
            </c:ext>
          </c:extLst>
        </c:ser>
        <c:dLbls>
          <c:showLegendKey val="0"/>
          <c:showVal val="0"/>
          <c:showCatName val="0"/>
          <c:showSerName val="0"/>
          <c:showPercent val="0"/>
          <c:showBubbleSize val="0"/>
        </c:dLbls>
        <c:gapWidth val="150"/>
        <c:axId val="221848704"/>
        <c:axId val="221850240"/>
      </c:barChart>
      <c:catAx>
        <c:axId val="221848704"/>
        <c:scaling>
          <c:orientation val="minMax"/>
        </c:scaling>
        <c:delete val="0"/>
        <c:axPos val="b"/>
        <c:numFmt formatCode="General" sourceLinked="1"/>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2700000" spcFirstLastPara="1" vertOverflow="ellipsis" wrap="square" anchor="ctr" anchorCtr="1"/>
          <a:lstStyle/>
          <a:p>
            <a:pPr>
              <a:defRPr sz="1000" b="0" i="0" u="none" strike="noStrike" kern="1200" baseline="0">
                <a:solidFill>
                  <a:schemeClr val="tx1"/>
                </a:solidFill>
                <a:latin typeface="+mn-lt"/>
                <a:ea typeface="+mn-ea"/>
                <a:cs typeface="+mn-cs"/>
              </a:defRPr>
            </a:pPr>
            <a:endParaRPr lang="en-US"/>
          </a:p>
        </c:txPr>
        <c:crossAx val="221850240"/>
        <c:crosses val="autoZero"/>
        <c:auto val="1"/>
        <c:lblAlgn val="ctr"/>
        <c:lblOffset val="100"/>
        <c:tickLblSkip val="1"/>
        <c:tickMarkSkip val="1"/>
        <c:noMultiLvlLbl val="0"/>
      </c:catAx>
      <c:valAx>
        <c:axId val="221850240"/>
        <c:scaling>
          <c:orientation val="minMax"/>
        </c:scaling>
        <c:delete val="0"/>
        <c:axPos val="l"/>
        <c:numFmt formatCode="0" sourceLinked="1"/>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0" spcFirstLastPara="1" vertOverflow="ellipsis" wrap="square" anchor="ctr" anchorCtr="1"/>
          <a:lstStyle/>
          <a:p>
            <a:pPr>
              <a:defRPr sz="1000" b="0" i="0" u="none" strike="noStrike" kern="1200" baseline="0">
                <a:solidFill>
                  <a:schemeClr val="tx1"/>
                </a:solidFill>
                <a:latin typeface="+mn-lt"/>
                <a:ea typeface="+mn-ea"/>
                <a:cs typeface="+mn-cs"/>
              </a:defRPr>
            </a:pPr>
            <a:endParaRPr lang="en-US"/>
          </a:p>
        </c:txPr>
        <c:crossAx val="221848704"/>
        <c:crosses val="autoZero"/>
        <c:crossBetween val="between"/>
      </c:valAx>
      <c:spPr>
        <a:solidFill>
          <a:schemeClr val="bg1"/>
        </a:solidFill>
        <a:ln>
          <a:noFill/>
        </a:ln>
        <a:effectLst/>
      </c:spPr>
    </c:plotArea>
    <c:plotVisOnly val="1"/>
    <c:dispBlanksAs val="gap"/>
    <c:showDLblsOverMax val="0"/>
  </c:chart>
  <c:spPr>
    <a:solidFill>
      <a:schemeClr val="bg1"/>
    </a:solidFill>
    <a:ln w="9525" cap="flat" cmpd="sng" algn="ctr">
      <a:solidFill>
        <a:schemeClr val="tx1">
          <a:tint val="75000"/>
          <a:shade val="95000"/>
          <a:satMod val="105000"/>
        </a:schemeClr>
      </a:solidFill>
      <a:prstDash val="solid"/>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 id="18">
  <a:schemeClr val="accent5"/>
</cs:colorStyle>
</file>

<file path=word/charts/colors2.xml><?xml version="1.0" encoding="utf-8"?>
<cs:colorStyle xmlns:cs="http://schemas.microsoft.com/office/drawing/2012/chartStyle" xmlns:a="http://schemas.openxmlformats.org/drawingml/2006/main" meth="withinLinear" id="18">
  <a:schemeClr val="accent5"/>
</cs:colorStyle>
</file>

<file path=word/charts/colors3.xml><?xml version="1.0" encoding="utf-8"?>
<cs:colorStyle xmlns:cs="http://schemas.microsoft.com/office/drawing/2012/chartStyle" xmlns:a="http://schemas.openxmlformats.org/drawingml/2006/main" meth="withinLinear" id="18">
  <a:schemeClr val="accent5"/>
</cs:colorStyle>
</file>

<file path=word/charts/colors4.xml><?xml version="1.0" encoding="utf-8"?>
<cs:colorStyle xmlns:cs="http://schemas.microsoft.com/office/drawing/2012/chartStyle" xmlns:a="http://schemas.openxmlformats.org/drawingml/2006/main" meth="withinLinear" id="18">
  <a:schemeClr val="accent5"/>
</cs:colorStyle>
</file>

<file path=word/charts/colors5.xml><?xml version="1.0" encoding="utf-8"?>
<cs:colorStyle xmlns:cs="http://schemas.microsoft.com/office/drawing/2012/chartStyle" xmlns:a="http://schemas.openxmlformats.org/drawingml/2006/main" meth="withinLinear" id="18">
  <a:schemeClr val="accent5"/>
</cs:colorStyle>
</file>

<file path=word/charts/colors6.xml><?xml version="1.0" encoding="utf-8"?>
<cs:colorStyle xmlns:cs="http://schemas.microsoft.com/office/drawing/2012/chartStyle" xmlns:a="http://schemas.openxmlformats.org/drawingml/2006/main" meth="withinLinear" id="18">
  <a:schemeClr val="accent5"/>
</cs:colorStyle>
</file>

<file path=word/charts/style1.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128">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3">
      <cs:styleClr val="auto"/>
    </cs:fillRef>
    <cs:effectRef idx="3">
      <a:schemeClr val="dk1"/>
    </cs:effectRef>
    <cs:fontRef idx="minor">
      <a:schemeClr val="tx1"/>
    </cs:fontRef>
  </cs:dataPoint>
  <cs:dataPoint3D>
    <cs:lnRef idx="0"/>
    <cs:fillRef idx="1">
      <cs:styleClr val="auto"/>
    </cs:fillRef>
    <cs:effectRef idx="3">
      <a:schemeClr val="dk1"/>
    </cs:effectRef>
    <cs:fontRef idx="minor">
      <a:schemeClr val="tx1"/>
    </cs:fontRef>
  </cs:dataPoint3D>
  <cs:dataPointLine>
    <cs:lnRef idx="1">
      <cs:styleClr val="auto"/>
    </cs:lnRef>
    <cs:lineWidthScale>7</cs:lineWidthScale>
    <cs:fillRef idx="0"/>
    <cs:effectRef idx="0"/>
    <cs:fontRef idx="minor">
      <a:schemeClr val="tx1"/>
    </cs:fontRef>
    <cs:spPr>
      <a:ln cap="rnd">
        <a:round/>
      </a:ln>
    </cs:spPr>
  </cs:dataPointLine>
  <cs:dataPointMarker>
    <cs:lnRef idx="1">
      <cs:styleClr val="auto"/>
    </cs:lnRef>
    <cs:fillRef idx="3">
      <cs:styleClr val="auto"/>
    </cs:fillRef>
    <cs:effectRef idx="3">
      <a:schemeClr val="dk1"/>
    </cs:effectRef>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0"/>
    <cs:fillRef idx="3" mods="ignoreCSTransforms">
      <cs:styleClr val="0">
        <a:shade val="25000"/>
      </cs:styleClr>
    </cs:fillRef>
    <cs:effectRef idx="3">
      <a:schemeClr val="dk1"/>
    </cs:effectRef>
    <cs:fontRef idx="minor">
      <a:schemeClr val="tx1"/>
    </cs:fontRef>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0"/>
    <cs:fillRef idx="3" mods="ignoreCSTransforms">
      <cs:styleClr val="0">
        <a:tint val="25000"/>
      </cs:styleClr>
    </cs:fillRef>
    <cs:effectRef idx="3">
      <a:schemeClr val="dk1"/>
    </cs:effectRef>
    <cs:fontRef idx="minor">
      <a:schemeClr val="tx1"/>
    </cs:fontRef>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3.xml><?xml version="1.0" encoding="utf-8"?>
<cs:chartStyle xmlns:cs="http://schemas.microsoft.com/office/drawing/2012/chartStyle" xmlns:a="http://schemas.openxmlformats.org/drawingml/2006/main" id="128">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3">
      <cs:styleClr val="auto"/>
    </cs:fillRef>
    <cs:effectRef idx="3">
      <a:schemeClr val="dk1"/>
    </cs:effectRef>
    <cs:fontRef idx="minor">
      <a:schemeClr val="tx1"/>
    </cs:fontRef>
  </cs:dataPoint>
  <cs:dataPoint3D>
    <cs:lnRef idx="0"/>
    <cs:fillRef idx="1">
      <cs:styleClr val="auto"/>
    </cs:fillRef>
    <cs:effectRef idx="3">
      <a:schemeClr val="dk1"/>
    </cs:effectRef>
    <cs:fontRef idx="minor">
      <a:schemeClr val="tx1"/>
    </cs:fontRef>
  </cs:dataPoint3D>
  <cs:dataPointLine>
    <cs:lnRef idx="1">
      <cs:styleClr val="auto"/>
    </cs:lnRef>
    <cs:lineWidthScale>7</cs:lineWidthScale>
    <cs:fillRef idx="0"/>
    <cs:effectRef idx="0"/>
    <cs:fontRef idx="minor">
      <a:schemeClr val="tx1"/>
    </cs:fontRef>
    <cs:spPr>
      <a:ln cap="rnd">
        <a:round/>
      </a:ln>
    </cs:spPr>
  </cs:dataPointLine>
  <cs:dataPointMarker>
    <cs:lnRef idx="1">
      <cs:styleClr val="auto"/>
    </cs:lnRef>
    <cs:fillRef idx="3">
      <cs:styleClr val="auto"/>
    </cs:fillRef>
    <cs:effectRef idx="3">
      <a:schemeClr val="dk1"/>
    </cs:effectRef>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0"/>
    <cs:fillRef idx="3" mods="ignoreCSTransforms">
      <cs:styleClr val="0">
        <a:shade val="25000"/>
      </cs:styleClr>
    </cs:fillRef>
    <cs:effectRef idx="3">
      <a:schemeClr val="dk1"/>
    </cs:effectRef>
    <cs:fontRef idx="minor">
      <a:schemeClr val="tx1"/>
    </cs:fontRef>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0"/>
    <cs:fillRef idx="3" mods="ignoreCSTransforms">
      <cs:styleClr val="0">
        <a:tint val="25000"/>
      </cs:styleClr>
    </cs:fillRef>
    <cs:effectRef idx="3">
      <a:schemeClr val="dk1"/>
    </cs:effectRef>
    <cs:fontRef idx="minor">
      <a:schemeClr val="tx1"/>
    </cs:fontRef>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4.xml><?xml version="1.0" encoding="utf-8"?>
<cs:chartStyle xmlns:cs="http://schemas.microsoft.com/office/drawing/2012/chartStyle" xmlns:a="http://schemas.openxmlformats.org/drawingml/2006/main" id="127">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3">
      <cs:styleClr val="auto"/>
    </cs:fillRef>
    <cs:effectRef idx="3">
      <a:schemeClr val="dk1"/>
    </cs:effectRef>
    <cs:fontRef idx="minor">
      <a:schemeClr val="tx1"/>
    </cs:fontRef>
  </cs:dataPoint>
  <cs:dataPoint3D>
    <cs:lnRef idx="0"/>
    <cs:fillRef idx="1">
      <cs:styleClr val="auto"/>
    </cs:fillRef>
    <cs:effectRef idx="3">
      <a:schemeClr val="dk1"/>
    </cs:effectRef>
    <cs:fontRef idx="minor">
      <a:schemeClr val="tx1"/>
    </cs:fontRef>
  </cs:dataPoint3D>
  <cs:dataPointLine>
    <cs:lnRef idx="1">
      <cs:styleClr val="auto"/>
    </cs:lnRef>
    <cs:lineWidthScale>7</cs:lineWidthScale>
    <cs:fillRef idx="0"/>
    <cs:effectRef idx="0"/>
    <cs:fontRef idx="minor">
      <a:schemeClr val="tx1"/>
    </cs:fontRef>
    <cs:spPr>
      <a:ln cap="rnd">
        <a:round/>
      </a:ln>
    </cs:spPr>
  </cs:dataPointLine>
  <cs:dataPointMarker>
    <cs:lnRef idx="1">
      <cs:styleClr val="auto"/>
    </cs:lnRef>
    <cs:fillRef idx="3">
      <cs:styleClr val="auto"/>
    </cs:fillRef>
    <cs:effectRef idx="3">
      <a:schemeClr val="dk1"/>
    </cs:effectRef>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0"/>
    <cs:fillRef idx="3" mods="ignoreCSTransforms">
      <cs:styleClr val="0">
        <a:shade val="25000"/>
      </cs:styleClr>
    </cs:fillRef>
    <cs:effectRef idx="3">
      <a:schemeClr val="dk1"/>
    </cs:effectRef>
    <cs:fontRef idx="minor">
      <a:schemeClr val="tx1"/>
    </cs:fontRef>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0"/>
    <cs:fillRef idx="3" mods="ignoreCSTransforms">
      <cs:styleClr val="0">
        <a:tint val="25000"/>
      </cs:styleClr>
    </cs:fillRef>
    <cs:effectRef idx="3">
      <a:schemeClr val="dk1"/>
    </cs:effectRef>
    <cs:fontRef idx="minor">
      <a:schemeClr val="tx1"/>
    </cs:fontRef>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5.xml><?xml version="1.0" encoding="utf-8"?>
<cs:chartStyle xmlns:cs="http://schemas.microsoft.com/office/drawing/2012/chartStyle" xmlns:a="http://schemas.openxmlformats.org/drawingml/2006/main" id="128">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3">
      <cs:styleClr val="auto"/>
    </cs:fillRef>
    <cs:effectRef idx="3">
      <a:schemeClr val="dk1"/>
    </cs:effectRef>
    <cs:fontRef idx="minor">
      <a:schemeClr val="tx1"/>
    </cs:fontRef>
  </cs:dataPoint>
  <cs:dataPoint3D>
    <cs:lnRef idx="0"/>
    <cs:fillRef idx="1">
      <cs:styleClr val="auto"/>
    </cs:fillRef>
    <cs:effectRef idx="3">
      <a:schemeClr val="dk1"/>
    </cs:effectRef>
    <cs:fontRef idx="minor">
      <a:schemeClr val="tx1"/>
    </cs:fontRef>
  </cs:dataPoint3D>
  <cs:dataPointLine>
    <cs:lnRef idx="1">
      <cs:styleClr val="auto"/>
    </cs:lnRef>
    <cs:lineWidthScale>7</cs:lineWidthScale>
    <cs:fillRef idx="0"/>
    <cs:effectRef idx="0"/>
    <cs:fontRef idx="minor">
      <a:schemeClr val="tx1"/>
    </cs:fontRef>
    <cs:spPr>
      <a:ln cap="rnd">
        <a:round/>
      </a:ln>
    </cs:spPr>
  </cs:dataPointLine>
  <cs:dataPointMarker>
    <cs:lnRef idx="1">
      <cs:styleClr val="auto"/>
    </cs:lnRef>
    <cs:fillRef idx="3">
      <cs:styleClr val="auto"/>
    </cs:fillRef>
    <cs:effectRef idx="3">
      <a:schemeClr val="dk1"/>
    </cs:effectRef>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0"/>
    <cs:fillRef idx="3" mods="ignoreCSTransforms">
      <cs:styleClr val="0">
        <a:shade val="25000"/>
      </cs:styleClr>
    </cs:fillRef>
    <cs:effectRef idx="3">
      <a:schemeClr val="dk1"/>
    </cs:effectRef>
    <cs:fontRef idx="minor">
      <a:schemeClr val="tx1"/>
    </cs:fontRef>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0"/>
    <cs:fillRef idx="3" mods="ignoreCSTransforms">
      <cs:styleClr val="0">
        <a:tint val="25000"/>
      </cs:styleClr>
    </cs:fillRef>
    <cs:effectRef idx="3">
      <a:schemeClr val="dk1"/>
    </cs:effectRef>
    <cs:fontRef idx="minor">
      <a:schemeClr val="tx1"/>
    </cs:fontRef>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6.xml><?xml version="1.0" encoding="utf-8"?>
<cs:chartStyle xmlns:cs="http://schemas.microsoft.com/office/drawing/2012/chartStyle" xmlns:a="http://schemas.openxmlformats.org/drawingml/2006/main" id="128">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3">
      <cs:styleClr val="auto"/>
    </cs:fillRef>
    <cs:effectRef idx="3">
      <a:schemeClr val="dk1"/>
    </cs:effectRef>
    <cs:fontRef idx="minor">
      <a:schemeClr val="tx1"/>
    </cs:fontRef>
  </cs:dataPoint>
  <cs:dataPoint3D>
    <cs:lnRef idx="0"/>
    <cs:fillRef idx="1">
      <cs:styleClr val="auto"/>
    </cs:fillRef>
    <cs:effectRef idx="3">
      <a:schemeClr val="dk1"/>
    </cs:effectRef>
    <cs:fontRef idx="minor">
      <a:schemeClr val="tx1"/>
    </cs:fontRef>
  </cs:dataPoint3D>
  <cs:dataPointLine>
    <cs:lnRef idx="1">
      <cs:styleClr val="auto"/>
    </cs:lnRef>
    <cs:lineWidthScale>7</cs:lineWidthScale>
    <cs:fillRef idx="0"/>
    <cs:effectRef idx="0"/>
    <cs:fontRef idx="minor">
      <a:schemeClr val="tx1"/>
    </cs:fontRef>
    <cs:spPr>
      <a:ln cap="rnd">
        <a:round/>
      </a:ln>
    </cs:spPr>
  </cs:dataPointLine>
  <cs:dataPointMarker>
    <cs:lnRef idx="1">
      <cs:styleClr val="auto"/>
    </cs:lnRef>
    <cs:fillRef idx="3">
      <cs:styleClr val="auto"/>
    </cs:fillRef>
    <cs:effectRef idx="3">
      <a:schemeClr val="dk1"/>
    </cs:effectRef>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0"/>
    <cs:fillRef idx="3" mods="ignoreCSTransforms">
      <cs:styleClr val="0">
        <a:shade val="25000"/>
      </cs:styleClr>
    </cs:fillRef>
    <cs:effectRef idx="3">
      <a:schemeClr val="dk1"/>
    </cs:effectRef>
    <cs:fontRef idx="minor">
      <a:schemeClr val="tx1"/>
    </cs:fontRef>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0"/>
    <cs:fillRef idx="3" mods="ignoreCSTransforms">
      <cs:styleClr val="0">
        <a:tint val="25000"/>
      </cs:styleClr>
    </cs:fillRef>
    <cs:effectRef idx="3">
      <a:schemeClr val="dk1"/>
    </cs:effectRef>
    <cs:fontRef idx="minor">
      <a:schemeClr val="tx1"/>
    </cs:fontRef>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drawings/drawing1.xml><?xml version="1.0" encoding="utf-8"?>
<c:userShapes xmlns:c="http://schemas.openxmlformats.org/drawingml/2006/chart">
  <cdr:relSizeAnchor xmlns:cdr="http://schemas.openxmlformats.org/drawingml/2006/chartDrawing">
    <cdr:from>
      <cdr:x>0.35658</cdr:x>
      <cdr:y>0.13194</cdr:y>
    </cdr:from>
    <cdr:to>
      <cdr:x>0.73269</cdr:x>
      <cdr:y>0.27735</cdr:y>
    </cdr:to>
    <cdr:sp macro="" textlink="">
      <cdr:nvSpPr>
        <cdr:cNvPr id="2" name="TextBox 1"/>
        <cdr:cNvSpPr txBox="1"/>
      </cdr:nvSpPr>
      <cdr:spPr>
        <a:xfrm xmlns:a="http://schemas.openxmlformats.org/drawingml/2006/main">
          <a:off x="3090332" y="829734"/>
          <a:ext cx="3259667"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0.46794</cdr:x>
      <cdr:y>0.20465</cdr:y>
    </cdr:from>
    <cdr:to>
      <cdr:x>0.57345</cdr:x>
      <cdr:y>0.35005</cdr:y>
    </cdr:to>
    <cdr:sp macro="" textlink="">
      <cdr:nvSpPr>
        <cdr:cNvPr id="3" name="TextBox 2"/>
        <cdr:cNvSpPr txBox="1"/>
      </cdr:nvSpPr>
      <cdr:spPr>
        <a:xfrm xmlns:a="http://schemas.openxmlformats.org/drawingml/2006/main">
          <a:off x="4055533" y="1286933"/>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0.34658</cdr:x>
      <cdr:y>0.09497</cdr:y>
    </cdr:from>
    <cdr:to>
      <cdr:x>0.72633</cdr:x>
      <cdr:y>0.26592</cdr:y>
    </cdr:to>
    <cdr:sp macro="" textlink="">
      <cdr:nvSpPr>
        <cdr:cNvPr id="4" name="TextBox 3"/>
        <cdr:cNvSpPr txBox="1"/>
      </cdr:nvSpPr>
      <cdr:spPr>
        <a:xfrm xmlns:a="http://schemas.openxmlformats.org/drawingml/2006/main">
          <a:off x="2954880" y="504743"/>
          <a:ext cx="3237723" cy="908587"/>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pPr algn="ctr"/>
          <a:r>
            <a:rPr lang="en-US" sz="1400" b="1"/>
            <a:t>Quarterly Median</a:t>
          </a:r>
          <a:r>
            <a:rPr lang="en-US" sz="1400" b="1" baseline="0"/>
            <a:t> Sold Price</a:t>
          </a:r>
        </a:p>
        <a:p xmlns:a="http://schemas.openxmlformats.org/drawingml/2006/main">
          <a:pPr algn="ctr"/>
          <a:r>
            <a:rPr lang="en-US" sz="1400" b="1" baseline="0"/>
            <a:t>of Land in Sequim in $1,000's</a:t>
          </a:r>
        </a:p>
        <a:p xmlns:a="http://schemas.openxmlformats.org/drawingml/2006/main">
          <a:pPr algn="ctr"/>
          <a:r>
            <a:rPr lang="en-US" sz="1400" b="1" baseline="0"/>
            <a:t>2004 - 2022</a:t>
          </a:r>
          <a:endParaRPr lang="en-US" sz="1400" b="1"/>
        </a:p>
      </cdr:txBody>
    </cdr:sp>
  </cdr:relSizeAnchor>
</c:userShape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3865EE-4479-4CFD-B8CE-8DE79EB6F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Pages>
  <Words>810</Words>
  <Characters>4619</Characters>
  <Application>Microsoft Office Word</Application>
  <DocSecurity>8</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dc:creator>
  <cp:lastModifiedBy>Debbie Swanson</cp:lastModifiedBy>
  <cp:revision>8</cp:revision>
  <cp:lastPrinted>2022-10-12T18:41:00Z</cp:lastPrinted>
  <dcterms:created xsi:type="dcterms:W3CDTF">2022-10-13T19:14:00Z</dcterms:created>
  <dcterms:modified xsi:type="dcterms:W3CDTF">2022-10-13T19:51:00Z</dcterms:modified>
</cp:coreProperties>
</file>